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FBE81" w14:textId="0477C24A" w:rsidR="00DE0D7F" w:rsidRDefault="00DE0D7F"/>
    <w:sdt>
      <w:sdtPr>
        <w:id w:val="272373785"/>
        <w:docPartObj>
          <w:docPartGallery w:val="Cover Pages"/>
          <w:docPartUnique/>
        </w:docPartObj>
      </w:sdtPr>
      <w:sdtEndPr>
        <w:rPr>
          <w:rFonts w:ascii="Arial" w:hAnsi="Arial" w:cs="Arial"/>
          <w:b/>
          <w:bCs/>
        </w:rPr>
      </w:sdtEndPr>
      <w:sdtContent>
        <w:p w14:paraId="3E8BB42B" w14:textId="2CEDD2E1" w:rsidR="00BE746E" w:rsidRDefault="00BE746E">
          <w:r>
            <w:rPr>
              <w:noProof/>
            </w:rPr>
            <mc:AlternateContent>
              <mc:Choice Requires="wpg">
                <w:drawing>
                  <wp:anchor distT="0" distB="0" distL="114300" distR="114300" simplePos="0" relativeHeight="251649535" behindDoc="0" locked="0" layoutInCell="1" allowOverlap="1" wp14:anchorId="09E1B7CA" wp14:editId="335485D8">
                    <wp:simplePos x="0" y="0"/>
                    <wp:positionH relativeFrom="page">
                      <wp:posOffset>4597400</wp:posOffset>
                    </wp:positionH>
                    <wp:positionV relativeFrom="page">
                      <wp:posOffset>0</wp:posOffset>
                    </wp:positionV>
                    <wp:extent cx="3155044" cy="10058400"/>
                    <wp:effectExtent l="0" t="0" r="7620" b="0"/>
                    <wp:wrapNone/>
                    <wp:docPr id="453" name="Group 453"/>
                    <wp:cNvGraphicFramePr/>
                    <a:graphic xmlns:a="http://schemas.openxmlformats.org/drawingml/2006/main">
                      <a:graphicData uri="http://schemas.microsoft.com/office/word/2010/wordprocessingGroup">
                        <wpg:wgp>
                          <wpg:cNvGrpSpPr/>
                          <wpg:grpSpPr>
                            <a:xfrm>
                              <a:off x="0" y="0"/>
                              <a:ext cx="3155044" cy="10058400"/>
                              <a:chOff x="-63500" y="0"/>
                              <a:chExt cx="3155044" cy="10058400"/>
                            </a:xfrm>
                          </wpg:grpSpPr>
                          <wps:wsp>
                            <wps:cNvPr id="460" name="Rectangle 460"/>
                            <wps:cNvSpPr>
                              <a:spLocks noChangeArrowheads="1"/>
                            </wps:cNvSpPr>
                            <wps:spPr bwMode="auto">
                              <a:xfrm>
                                <a:off x="-63500" y="0"/>
                                <a:ext cx="3155044" cy="10058400"/>
                              </a:xfrm>
                              <a:prstGeom prst="rect">
                                <a:avLst/>
                              </a:prstGeom>
                              <a:solidFill>
                                <a:srgbClr val="19653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49" y="0"/>
                                <a:ext cx="3002402"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Verdana" w:hAnsi="Verdana" w:cs="Arial"/>
                                      <w:b/>
                                      <w:bCs/>
                                      <w:color w:val="FFFFFF" w:themeColor="background1"/>
                                      <w:sz w:val="72"/>
                                      <w:szCs w:val="72"/>
                                    </w:rPr>
                                    <w:alias w:val="Year"/>
                                    <w:id w:val="1012341074"/>
                                    <w:dataBinding w:prefixMappings="xmlns:ns0='http://schemas.microsoft.com/office/2006/coverPageProps'" w:xpath="/ns0:CoverPageProperties[1]/ns0:PublishDate[1]" w:storeItemID="{55AF091B-3C7A-41E3-B477-F2FDAA23CFDA}"/>
                                    <w:date w:fullDate="2025-05-20T00:00:00Z">
                                      <w:dateFormat w:val="yyyy"/>
                                      <w:lid w:val="en-US"/>
                                      <w:storeMappedDataAs w:val="dateTime"/>
                                      <w:calendar w:val="gregorian"/>
                                    </w:date>
                                  </w:sdtPr>
                                  <w:sdtEndPr>
                                    <w:rPr>
                                      <w:color w:val="000000" w:themeColor="text1"/>
                                    </w:rPr>
                                  </w:sdtEndPr>
                                  <w:sdtContent>
                                    <w:p w14:paraId="6F83141A" w14:textId="5F6572CF" w:rsidR="00BE746E" w:rsidRPr="0075264C" w:rsidRDefault="0060316A">
                                      <w:pPr>
                                        <w:pStyle w:val="NoSpacing"/>
                                        <w:rPr>
                                          <w:rFonts w:ascii="Verdana" w:hAnsi="Verdana" w:cs="Arial"/>
                                          <w:b/>
                                          <w:bCs/>
                                          <w:color w:val="000000" w:themeColor="text1"/>
                                          <w:sz w:val="72"/>
                                          <w:szCs w:val="72"/>
                                        </w:rPr>
                                      </w:pPr>
                                      <w:r>
                                        <w:rPr>
                                          <w:rFonts w:ascii="Verdana" w:hAnsi="Verdana" w:cs="Arial"/>
                                          <w:b/>
                                          <w:bCs/>
                                          <w:color w:val="FFFFFF" w:themeColor="background1"/>
                                          <w:sz w:val="72"/>
                                          <w:szCs w:val="72"/>
                                        </w:rPr>
                                        <w:t>2025</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Verdana" w:hAnsi="Verdana" w:cs="Arial"/>
                                      <w:color w:val="FFFFFF" w:themeColor="background1"/>
                                      <w:sz w:val="24"/>
                                      <w:szCs w:val="24"/>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2D2D0E25" w14:textId="5571A004" w:rsidR="00BE746E" w:rsidRPr="0075264C" w:rsidRDefault="00D10515">
                                      <w:pPr>
                                        <w:pStyle w:val="NoSpacing"/>
                                        <w:spacing w:line="360" w:lineRule="auto"/>
                                        <w:rPr>
                                          <w:rFonts w:ascii="Verdana" w:hAnsi="Verdana" w:cs="Arial"/>
                                          <w:color w:val="FFFFFF" w:themeColor="background1"/>
                                          <w:sz w:val="24"/>
                                          <w:szCs w:val="24"/>
                                        </w:rPr>
                                      </w:pPr>
                                      <w:r>
                                        <w:rPr>
                                          <w:rFonts w:ascii="Verdana" w:hAnsi="Verdana" w:cs="Arial"/>
                                          <w:color w:val="FFFFFF" w:themeColor="background1"/>
                                          <w:sz w:val="24"/>
                                          <w:szCs w:val="24"/>
                                        </w:rPr>
                                        <w:t>Housing &amp; Community Safety</w:t>
                                      </w:r>
                                    </w:p>
                                  </w:sdtContent>
                                </w:sdt>
                                <w:sdt>
                                  <w:sdtPr>
                                    <w:rPr>
                                      <w:rFonts w:ascii="Verdana" w:hAnsi="Verdana" w:cs="Arial"/>
                                      <w:color w:val="FFFFFF" w:themeColor="background1"/>
                                      <w:sz w:val="24"/>
                                      <w:szCs w:val="24"/>
                                    </w:rPr>
                                    <w:alias w:val="Company"/>
                                    <w:id w:val="1760174317"/>
                                    <w:dataBinding w:prefixMappings="xmlns:ns0='http://schemas.openxmlformats.org/officeDocument/2006/extended-properties'" w:xpath="/ns0:Properties[1]/ns0:Company[1]" w:storeItemID="{6668398D-A668-4E3E-A5EB-62B293D839F1}"/>
                                    <w:text/>
                                  </w:sdtPr>
                                  <w:sdtContent>
                                    <w:p w14:paraId="348478A9" w14:textId="77777777" w:rsidR="00BE746E" w:rsidRPr="0075264C" w:rsidRDefault="00927686">
                                      <w:pPr>
                                        <w:pStyle w:val="NoSpacing"/>
                                        <w:spacing w:line="360" w:lineRule="auto"/>
                                        <w:rPr>
                                          <w:rFonts w:ascii="Verdana" w:hAnsi="Verdana" w:cs="Arial"/>
                                          <w:color w:val="FFFFFF" w:themeColor="background1"/>
                                          <w:sz w:val="24"/>
                                          <w:szCs w:val="24"/>
                                        </w:rPr>
                                      </w:pPr>
                                      <w:r w:rsidRPr="0075264C">
                                        <w:rPr>
                                          <w:rFonts w:ascii="Verdana" w:hAnsi="Verdana" w:cs="Arial"/>
                                          <w:color w:val="FFFFFF" w:themeColor="background1"/>
                                          <w:sz w:val="24"/>
                                          <w:szCs w:val="24"/>
                                        </w:rPr>
                                        <w:t>Nuneaton and Bedworth        Borough Council</w:t>
                                      </w:r>
                                    </w:p>
                                  </w:sdtContent>
                                </w:sdt>
                                <w:sdt>
                                  <w:sdtPr>
                                    <w:rPr>
                                      <w:rFonts w:ascii="Verdana" w:hAnsi="Verdana" w:cs="Arial"/>
                                      <w:color w:val="FFFFFF" w:themeColor="background1"/>
                                      <w:sz w:val="24"/>
                                      <w:szCs w:val="24"/>
                                    </w:rPr>
                                    <w:alias w:val="Date"/>
                                    <w:id w:val="1724480474"/>
                                    <w:dataBinding w:prefixMappings="xmlns:ns0='http://schemas.microsoft.com/office/2006/coverPageProps'" w:xpath="/ns0:CoverPageProperties[1]/ns0:PublishDate[1]" w:storeItemID="{55AF091B-3C7A-41E3-B477-F2FDAA23CFDA}"/>
                                    <w:date w:fullDate="2025-05-20T00:00:00Z">
                                      <w:dateFormat w:val="M/d/yyyy"/>
                                      <w:lid w:val="en-US"/>
                                      <w:storeMappedDataAs w:val="dateTime"/>
                                      <w:calendar w:val="gregorian"/>
                                    </w:date>
                                  </w:sdtPr>
                                  <w:sdtContent>
                                    <w:p w14:paraId="5915AF5A" w14:textId="5A30308A" w:rsidR="00BE746E" w:rsidRPr="0075264C" w:rsidRDefault="0060316A">
                                      <w:pPr>
                                        <w:pStyle w:val="NoSpacing"/>
                                        <w:spacing w:line="360" w:lineRule="auto"/>
                                        <w:rPr>
                                          <w:rFonts w:ascii="Verdana" w:hAnsi="Verdana" w:cs="Arial"/>
                                          <w:color w:val="FFFFFF" w:themeColor="background1"/>
                                          <w:sz w:val="24"/>
                                          <w:szCs w:val="24"/>
                                        </w:rPr>
                                      </w:pPr>
                                      <w:r>
                                        <w:rPr>
                                          <w:rFonts w:ascii="Verdana" w:hAnsi="Verdana" w:cs="Arial"/>
                                          <w:color w:val="FFFFFF" w:themeColor="background1"/>
                                          <w:sz w:val="24"/>
                                          <w:szCs w:val="24"/>
                                        </w:rPr>
                                        <w:t>5/20/2025</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09E1B7CA" id="Group 453" o:spid="_x0000_s1026" style="position:absolute;margin-left:362pt;margin-top:0;width:248.45pt;height:11in;z-index:251649535;mso-height-percent:1000;mso-position-horizontal-relative:page;mso-position-vertical-relative:page;mso-height-percent:1000" coordorigin="-635" coordsize="31550,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kq0AIAAC4JAAAOAAAAZHJzL2Uyb0RvYy54bWzUlm1P2zAQx99P2new/B6SNEmbRqQIwUCT&#10;2IbG9gEcx3nQEtuz3abs03N22qaUSQwmmPYmzfnhfPf37y49OV13LVoxpRvBMxwc+xgxTkXR8CrD&#10;379dHiUYaUN4QVrBWYbvmMani/fvTnqZsomoRVswhcAJ12kvM1wbI1PP07RmHdHHQjIOk6VQHTFg&#10;qsorFOnBe9d6E9+fer1QhVSCMq1h9GKYxAvnvywZNV/KUjOD2gxDbMY9lXvm9uktTkhaKSLrhm7C&#10;IC+IoiMNh0N3ri6IIWipmkeuuoYqoUVpjqnoPFGWDWUuB8gm8A+yuVJiKV0uVdpXcicTSHug04vd&#10;0s+rKyVv5Y0CJXpZgRbOsrmsS9XZX4gSrZ1kdzvJ2NogCoNhEMd+FGFEYS7w/TiJ/I2qtAbp7caj&#10;aRjDIBp30/rDU/u97fneg6h6CZzoUQr9d1Lc1kQyp7BOQYobhZoiw9EUouWkA16/AkGEVy1DdtBp&#10;5FZaxaw2Wl4L+kMjLs5rWMfOlBJ9zUgBgQV2PYS/t8EaGraivP8kCvBPlkY4cA7EfqzZk4rvFCOp&#10;VNpcMdEh+5JhBUm4Q8jqWhsb1LjEJSHaprhs2tYZqsrPW4VWBEommE/jMHR5QK7jMpeVTcRCo9Nc&#10;FHeQlBJDfUE/gJdaqF8Y9VBbGdY/l0QxjNqPHISZB1Fki9EZUTybgKH2Z/L9GcIpuMqwwWh4PTdD&#10;AS+laqoaTgpcclycgZhl4xIco9pcAUAzxPoG9AS/o8fR8ACG16MnCJNovl9wO3h8fxL5k6FcJ+Fs&#10;Zi9iAGIL4DPZ4cKCswV9RMKs8zWMjvfwx3SE03hmC3DAI0gmSbLjY2sNgGytLSH5f0MI3MBhf5m/&#10;YXcBPaEZT2fTwA8Sey5JR0KSeRzEG0KSMAxnr0iIa7e7ynhmG/mnoLjPEnyUXTPd/IGwX/1927We&#10;8W/O4h4AAP//AwBQSwMEFAAGAAgAAAAhAKpjLhfhAAAACgEAAA8AAABkcnMvZG93bnJldi54bWxM&#10;j81OwzAQhO9IvIO1SNyoQ8RPE+JUFVK5QIta4MDNjZckwl5HsdOkPD3bE1xWu5rR7DfFYnJWHLAP&#10;rScF17MEBFLlTUu1gve31dUcRIiajLaeUMERAyzK87NC58aPtMXDLtaCQyjkWkETY5dLGaoGnQ4z&#10;3yGx9uV7pyOffS1Nr0cOd1amSXInnW6JPzS6w8cGq+/d4BRYuTJLd3z+HDev2yx7GtYvHz9rpS4v&#10;puUDiIhT/DPDCZ/RoWSmvR/IBGEV3Kc33CUq4HmS0zTJQOx5u52zIstC/q9Q/gIAAP//AwBQSwEC&#10;LQAUAAYACAAAACEAtoM4kv4AAADhAQAAEwAAAAAAAAAAAAAAAAAAAAAAW0NvbnRlbnRfVHlwZXNd&#10;LnhtbFBLAQItABQABgAIAAAAIQA4/SH/1gAAAJQBAAALAAAAAAAAAAAAAAAAAC8BAABfcmVscy8u&#10;cmVsc1BLAQItABQABgAIAAAAIQCGpakq0AIAAC4JAAAOAAAAAAAAAAAAAAAAAC4CAABkcnMvZTJv&#10;RG9jLnhtbFBLAQItABQABgAIAAAAIQCqYy4X4QAAAAoBAAAPAAAAAAAAAAAAAAAAACoFAABkcnMv&#10;ZG93bnJldi54bWxQSwUGAAAAAAQABADzAAAAOAYAAAAA&#10;">
                    <v:rect id="Rectangle 460" o:spid="_x0000_s1027" style="position:absolute;left:-635;width:31550;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Eu4wQAAANwAAAAPAAAAZHJzL2Rvd25yZXYueG1sRE9La8JA&#10;EL4X+h+WKfRWNz4IJXUVCQqeCqba8zQ7JmmzsyG7mrS/3jkIPX587+V6dK26Uh8azwamkwQUcelt&#10;w5WB48fu5RVUiMgWW89k4JcCrFePD0vMrB/4QNciVkpCOGRooI6xy7QOZU0Ow8R3xMKdfe8wCuwr&#10;bXscJNy1epYkqXbYsDTU2FFeU/lTXJyUnJv8ZPfFV/49/4zb9K/i9/lgzPPTuHkDFWmM/+K7e28N&#10;LFKZL2fkCOjVDQAA//8DAFBLAQItABQABgAIAAAAIQDb4fbL7gAAAIUBAAATAAAAAAAAAAAAAAAA&#10;AAAAAABbQ29udGVudF9UeXBlc10ueG1sUEsBAi0AFAAGAAgAAAAhAFr0LFu/AAAAFQEAAAsAAAAA&#10;AAAAAAAAAAAAHwEAAF9yZWxzLy5yZWxzUEsBAi0AFAAGAAgAAAAhABkIS7jBAAAA3AAAAA8AAAAA&#10;AAAAAAAAAAAABwIAAGRycy9kb3ducmV2LnhtbFBLBQYAAAAAAwADALcAAAD1AgAAAAA=&#10;" fillcolor="#196533" stroked="f" strokecolor="#d8d8d8"/>
                    <v:rect id="Rectangle 461" o:spid="_x0000_s1028" style="position:absolute;left:138;width:30024;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rFonts w:ascii="Verdana" w:hAnsi="Verdana" w:cs="Arial"/>
                                <w:b/>
                                <w:bCs/>
                                <w:color w:val="FFFFFF" w:themeColor="background1"/>
                                <w:sz w:val="72"/>
                                <w:szCs w:val="72"/>
                              </w:rPr>
                              <w:alias w:val="Year"/>
                              <w:id w:val="1012341074"/>
                              <w:dataBinding w:prefixMappings="xmlns:ns0='http://schemas.microsoft.com/office/2006/coverPageProps'" w:xpath="/ns0:CoverPageProperties[1]/ns0:PublishDate[1]" w:storeItemID="{55AF091B-3C7A-41E3-B477-F2FDAA23CFDA}"/>
                              <w:date w:fullDate="2025-05-20T00:00:00Z">
                                <w:dateFormat w:val="yyyy"/>
                                <w:lid w:val="en-US"/>
                                <w:storeMappedDataAs w:val="dateTime"/>
                                <w:calendar w:val="gregorian"/>
                              </w:date>
                            </w:sdtPr>
                            <w:sdtEndPr>
                              <w:rPr>
                                <w:color w:val="000000" w:themeColor="text1"/>
                              </w:rPr>
                            </w:sdtEndPr>
                            <w:sdtContent>
                              <w:p w14:paraId="6F83141A" w14:textId="5F6572CF" w:rsidR="00BE746E" w:rsidRPr="0075264C" w:rsidRDefault="0060316A">
                                <w:pPr>
                                  <w:pStyle w:val="NoSpacing"/>
                                  <w:rPr>
                                    <w:rFonts w:ascii="Verdana" w:hAnsi="Verdana" w:cs="Arial"/>
                                    <w:b/>
                                    <w:bCs/>
                                    <w:color w:val="000000" w:themeColor="text1"/>
                                    <w:sz w:val="72"/>
                                    <w:szCs w:val="72"/>
                                  </w:rPr>
                                </w:pPr>
                                <w:r>
                                  <w:rPr>
                                    <w:rFonts w:ascii="Verdana" w:hAnsi="Verdana" w:cs="Arial"/>
                                    <w:b/>
                                    <w:bCs/>
                                    <w:color w:val="FFFFFF" w:themeColor="background1"/>
                                    <w:sz w:val="72"/>
                                    <w:szCs w:val="72"/>
                                  </w:rPr>
                                  <w:t>2025</w:t>
                                </w:r>
                              </w:p>
                            </w:sdtContent>
                          </w:sdt>
                        </w:txbxContent>
                      </v:textbox>
                    </v:rect>
                    <v:rect id="Rectangle 9" o:spid="_x0000_s1029"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rFonts w:ascii="Verdana" w:hAnsi="Verdana" w:cs="Arial"/>
                                <w:color w:val="FFFFFF" w:themeColor="background1"/>
                                <w:sz w:val="24"/>
                                <w:szCs w:val="24"/>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2D2D0E25" w14:textId="5571A004" w:rsidR="00BE746E" w:rsidRPr="0075264C" w:rsidRDefault="00D10515">
                                <w:pPr>
                                  <w:pStyle w:val="NoSpacing"/>
                                  <w:spacing w:line="360" w:lineRule="auto"/>
                                  <w:rPr>
                                    <w:rFonts w:ascii="Verdana" w:hAnsi="Verdana" w:cs="Arial"/>
                                    <w:color w:val="FFFFFF" w:themeColor="background1"/>
                                    <w:sz w:val="24"/>
                                    <w:szCs w:val="24"/>
                                  </w:rPr>
                                </w:pPr>
                                <w:r>
                                  <w:rPr>
                                    <w:rFonts w:ascii="Verdana" w:hAnsi="Verdana" w:cs="Arial"/>
                                    <w:color w:val="FFFFFF" w:themeColor="background1"/>
                                    <w:sz w:val="24"/>
                                    <w:szCs w:val="24"/>
                                  </w:rPr>
                                  <w:t>Housing &amp; Community Safety</w:t>
                                </w:r>
                              </w:p>
                            </w:sdtContent>
                          </w:sdt>
                          <w:sdt>
                            <w:sdtPr>
                              <w:rPr>
                                <w:rFonts w:ascii="Verdana" w:hAnsi="Verdana" w:cs="Arial"/>
                                <w:color w:val="FFFFFF" w:themeColor="background1"/>
                                <w:sz w:val="24"/>
                                <w:szCs w:val="24"/>
                              </w:rPr>
                              <w:alias w:val="Company"/>
                              <w:id w:val="1760174317"/>
                              <w:dataBinding w:prefixMappings="xmlns:ns0='http://schemas.openxmlformats.org/officeDocument/2006/extended-properties'" w:xpath="/ns0:Properties[1]/ns0:Company[1]" w:storeItemID="{6668398D-A668-4E3E-A5EB-62B293D839F1}"/>
                              <w:text/>
                            </w:sdtPr>
                            <w:sdtEndPr/>
                            <w:sdtContent>
                              <w:p w14:paraId="348478A9" w14:textId="77777777" w:rsidR="00BE746E" w:rsidRPr="0075264C" w:rsidRDefault="00927686">
                                <w:pPr>
                                  <w:pStyle w:val="NoSpacing"/>
                                  <w:spacing w:line="360" w:lineRule="auto"/>
                                  <w:rPr>
                                    <w:rFonts w:ascii="Verdana" w:hAnsi="Verdana" w:cs="Arial"/>
                                    <w:color w:val="FFFFFF" w:themeColor="background1"/>
                                    <w:sz w:val="24"/>
                                    <w:szCs w:val="24"/>
                                  </w:rPr>
                                </w:pPr>
                                <w:r w:rsidRPr="0075264C">
                                  <w:rPr>
                                    <w:rFonts w:ascii="Verdana" w:hAnsi="Verdana" w:cs="Arial"/>
                                    <w:color w:val="FFFFFF" w:themeColor="background1"/>
                                    <w:sz w:val="24"/>
                                    <w:szCs w:val="24"/>
                                  </w:rPr>
                                  <w:t>Nuneaton and Bedworth        Borough Council</w:t>
                                </w:r>
                              </w:p>
                            </w:sdtContent>
                          </w:sdt>
                          <w:sdt>
                            <w:sdtPr>
                              <w:rPr>
                                <w:rFonts w:ascii="Verdana" w:hAnsi="Verdana" w:cs="Arial"/>
                                <w:color w:val="FFFFFF" w:themeColor="background1"/>
                                <w:sz w:val="24"/>
                                <w:szCs w:val="24"/>
                              </w:rPr>
                              <w:alias w:val="Date"/>
                              <w:id w:val="1724480474"/>
                              <w:dataBinding w:prefixMappings="xmlns:ns0='http://schemas.microsoft.com/office/2006/coverPageProps'" w:xpath="/ns0:CoverPageProperties[1]/ns0:PublishDate[1]" w:storeItemID="{55AF091B-3C7A-41E3-B477-F2FDAA23CFDA}"/>
                              <w:date w:fullDate="2025-05-20T00:00:00Z">
                                <w:dateFormat w:val="M/d/yyyy"/>
                                <w:lid w:val="en-US"/>
                                <w:storeMappedDataAs w:val="dateTime"/>
                                <w:calendar w:val="gregorian"/>
                              </w:date>
                            </w:sdtPr>
                            <w:sdtEndPr/>
                            <w:sdtContent>
                              <w:p w14:paraId="5915AF5A" w14:textId="5A30308A" w:rsidR="00BE746E" w:rsidRPr="0075264C" w:rsidRDefault="0060316A">
                                <w:pPr>
                                  <w:pStyle w:val="NoSpacing"/>
                                  <w:spacing w:line="360" w:lineRule="auto"/>
                                  <w:rPr>
                                    <w:rFonts w:ascii="Verdana" w:hAnsi="Verdana" w:cs="Arial"/>
                                    <w:color w:val="FFFFFF" w:themeColor="background1"/>
                                    <w:sz w:val="24"/>
                                    <w:szCs w:val="24"/>
                                  </w:rPr>
                                </w:pPr>
                                <w:r>
                                  <w:rPr>
                                    <w:rFonts w:ascii="Verdana" w:hAnsi="Verdana" w:cs="Arial"/>
                                    <w:color w:val="FFFFFF" w:themeColor="background1"/>
                                    <w:sz w:val="24"/>
                                    <w:szCs w:val="24"/>
                                  </w:rPr>
                                  <w:t>5/20/2025</w:t>
                                </w:r>
                              </w:p>
                            </w:sdtContent>
                          </w:sdt>
                        </w:txbxContent>
                      </v:textbox>
                    </v:rect>
                    <w10:wrap anchorx="page" anchory="page"/>
                  </v:group>
                </w:pict>
              </mc:Fallback>
            </mc:AlternateContent>
          </w:r>
        </w:p>
        <w:p w14:paraId="108BB190" w14:textId="77777777" w:rsidR="00BE746E" w:rsidRDefault="0075264C" w:rsidP="4330B532">
          <w:pPr>
            <w:rPr>
              <w:rFonts w:ascii="Arial" w:eastAsiaTheme="majorEastAsia" w:hAnsi="Arial" w:cs="Arial"/>
              <w:b/>
              <w:bCs/>
              <w:color w:val="2F5496" w:themeColor="accent1" w:themeShade="BF"/>
              <w:sz w:val="32"/>
              <w:szCs w:val="32"/>
            </w:rPr>
          </w:pPr>
          <w:r>
            <w:rPr>
              <w:noProof/>
            </w:rPr>
            <mc:AlternateContent>
              <mc:Choice Requires="wps">
                <w:drawing>
                  <wp:anchor distT="0" distB="0" distL="114300" distR="114300" simplePos="0" relativeHeight="251650560" behindDoc="0" locked="0" layoutInCell="0" allowOverlap="1" wp14:anchorId="4C9F718E" wp14:editId="1BD4365F">
                    <wp:simplePos x="0" y="0"/>
                    <wp:positionH relativeFrom="page">
                      <wp:align>left</wp:align>
                    </wp:positionH>
                    <wp:positionV relativeFrom="page">
                      <wp:posOffset>2533650</wp:posOffset>
                    </wp:positionV>
                    <wp:extent cx="6970395" cy="1123950"/>
                    <wp:effectExtent l="0" t="0" r="1905" b="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970395" cy="1123950"/>
                            </a:xfrm>
                            <a:prstGeom prst="rect">
                              <a:avLst/>
                            </a:prstGeom>
                            <a:solidFill>
                              <a:srgbClr val="AFBDA9"/>
                            </a:solidFill>
                            <a:ln w="19050">
                              <a:noFill/>
                              <a:miter/>
                            </a:ln>
                          </wps:spPr>
                          <wps:txbx>
                            <w:txbxContent>
                              <w:p w14:paraId="65FCECE8" w14:textId="5AAC6571" w:rsidR="00EE401B" w:rsidRPr="00D10515" w:rsidRDefault="00AD26BF" w:rsidP="00495665">
                                <w:pPr>
                                  <w:spacing w:line="276" w:lineRule="auto"/>
                                  <w:jc w:val="right"/>
                                  <w:rPr>
                                    <w:rFonts w:ascii="Verdana" w:eastAsia="Verdana" w:hAnsi="Verdana"/>
                                    <w:b/>
                                    <w:bCs/>
                                    <w:color w:val="000000"/>
                                    <w:sz w:val="56"/>
                                    <w:szCs w:val="56"/>
                                    <w:lang w:val="en-US"/>
                                  </w:rPr>
                                </w:pPr>
                                <w:r>
                                  <w:rPr>
                                    <w:rFonts w:ascii="Verdana" w:eastAsia="Verdana" w:hAnsi="Verdana"/>
                                    <w:b/>
                                    <w:bCs/>
                                    <w:color w:val="000000"/>
                                    <w:sz w:val="56"/>
                                    <w:szCs w:val="56"/>
                                    <w:lang w:val="en-US"/>
                                  </w:rPr>
                                  <w:t>Management Move</w:t>
                                </w:r>
                                <w:r w:rsidR="00D10515" w:rsidRPr="00D10515">
                                  <w:rPr>
                                    <w:rFonts w:ascii="Verdana" w:eastAsia="Verdana" w:hAnsi="Verdana"/>
                                    <w:b/>
                                    <w:bCs/>
                                    <w:color w:val="000000"/>
                                    <w:sz w:val="56"/>
                                    <w:szCs w:val="56"/>
                                    <w:lang w:val="en-US"/>
                                  </w:rPr>
                                  <w:t xml:space="preserve"> Policy</w:t>
                                </w:r>
                              </w:p>
                            </w:txbxContent>
                          </wps:txbx>
                          <wps:bodyPr wrap="square" lIns="182880" tIns="45720" rIns="182880" bIns="45720" anchor="ctr" upright="1">
                            <a:noAutofit/>
                          </wps:bodyPr>
                        </wps:wsp>
                      </a:graphicData>
                    </a:graphic>
                    <wp14:sizeRelH relativeFrom="page">
                      <wp14:pctWidth>90000</wp14:pctWidth>
                    </wp14:sizeRelH>
                    <wp14:sizeRelV relativeFrom="page">
                      <wp14:pctHeight>0</wp14:pctHeight>
                    </wp14:sizeRelV>
                  </wp:anchor>
                </w:drawing>
              </mc:Choice>
              <mc:Fallback>
                <w:pict>
                  <v:rect w14:anchorId="4C9F718E" id="Rectangle 16" o:spid="_x0000_s1030" style="position:absolute;margin-left:0;margin-top:199.5pt;width:548.85pt;height:88.5pt;z-index:251650560;visibility:visible;mso-wrap-style:square;mso-width-percent:900;mso-height-percent:0;mso-wrap-distance-left:9pt;mso-wrap-distance-top:0;mso-wrap-distance-right:9pt;mso-wrap-distance-bottom:0;mso-position-horizontal:left;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KL5QEAALADAAAOAAAAZHJzL2Uyb0RvYy54bWysU9uO0zAQfUfiHyy/01xgd9uo6apsVYS0&#10;gpUWPsB1nMTC8Zix27R/z9jNdgu8IV4sj8dz5pzj8fL+OBh2UOg12JoXs5wzZSU02nY1//5t+27O&#10;mQ/CNsKAVTU/Kc/vV2/fLEdXqRJ6MI1CRiDWV6OreR+Cq7LMy14Nws/AKUvJFnAQgULssgbFSOiD&#10;yco8v81GwMYhSOU9nW7OSb5K+G2rZPjatl4FZmpO3EJaMa27uGarpag6FK7XcqIh/oHFILSlpheo&#10;jQiC7VH/BTVoieChDTMJQwZtq6VKGkhNkf+h5rkXTiUtZI53F5v8/4OVXw7P7gkjde8eQf7wzMJD&#10;L2yn1ogw9ko01K6IRmWj89WlIAZ+Kj22OEQI0sOOydzTxVx1DEzS4e3iLn+/uOFMUq4oSton+zNR&#10;vZQ79OGTgoHFTc2RXi+ZKg6PPkQConq5kgiD0c1WG5MC7HYPBtlB0Euvtx8360XiTLqurxnLRmq/&#10;yKl5LLMQAdIUDDooPHcxdlJ7FhilhuPuyHRT8zLCxpMdNKcnZCMNT839z71AxZn5bKNd83I+j+OW&#10;og83dyUF+Ftqd50SVvZAUykDcrZ3qLue9BcTw/U+QKuTAa99J4I0FsmXaYTj3F3H6dbrR1v9AgAA&#10;//8DAFBLAwQUAAYACAAAACEA/Lrfvt8AAAAJAQAADwAAAGRycy9kb3ducmV2LnhtbEyPwU7DMBBE&#10;70j8g7VI3KgNFUkTsqkKCHFAPRDauxtvk4h4HcVuE/4e9wS3Wc1q5k2xnm0vzjT6zjHC/UKBIK6d&#10;6bhB2H293a1A+KDZ6N4xIfyQh3V5fVXo3LiJP+lchUbEEPa5RmhDGHIpfd2S1X7hBuLoHd1odYjn&#10;2Egz6imG214+KJVIqzuODa0e6KWl+rs6WYTN7KaVf673SbVL35cf++z4ut0i3t7MmycQgebw9wwX&#10;/IgOZWQ6uBMbL3qEOCQgLLMsioutsjQFcUB4TBMFsizk/wXlLwAAAP//AwBQSwECLQAUAAYACAAA&#10;ACEAtoM4kv4AAADhAQAAEwAAAAAAAAAAAAAAAAAAAAAAW0NvbnRlbnRfVHlwZXNdLnhtbFBLAQIt&#10;ABQABgAIAAAAIQA4/SH/1gAAAJQBAAALAAAAAAAAAAAAAAAAAC8BAABfcmVscy8ucmVsc1BLAQIt&#10;ABQABgAIAAAAIQC+GeKL5QEAALADAAAOAAAAAAAAAAAAAAAAAC4CAABkcnMvZTJvRG9jLnhtbFBL&#10;AQItABQABgAIAAAAIQD8ut++3wAAAAkBAAAPAAAAAAAAAAAAAAAAAD8EAABkcnMvZG93bnJldi54&#10;bWxQSwUGAAAAAAQABADzAAAASwUAAAAA&#10;" o:allowincell="f" fillcolor="#afbda9" stroked="f" strokeweight="1.5pt">
                    <v:textbox inset="14.4pt,,14.4pt">
                      <w:txbxContent>
                        <w:p w14:paraId="65FCECE8" w14:textId="5AAC6571" w:rsidR="00EE401B" w:rsidRPr="00D10515" w:rsidRDefault="00AD26BF" w:rsidP="00495665">
                          <w:pPr>
                            <w:spacing w:line="276" w:lineRule="auto"/>
                            <w:jc w:val="right"/>
                            <w:rPr>
                              <w:rFonts w:ascii="Verdana" w:eastAsia="Verdana" w:hAnsi="Verdana"/>
                              <w:b/>
                              <w:bCs/>
                              <w:color w:val="000000"/>
                              <w:sz w:val="56"/>
                              <w:szCs w:val="56"/>
                              <w:lang w:val="en-US"/>
                            </w:rPr>
                          </w:pPr>
                          <w:r>
                            <w:rPr>
                              <w:rFonts w:ascii="Verdana" w:eastAsia="Verdana" w:hAnsi="Verdana"/>
                              <w:b/>
                              <w:bCs/>
                              <w:color w:val="000000"/>
                              <w:sz w:val="56"/>
                              <w:szCs w:val="56"/>
                              <w:lang w:val="en-US"/>
                            </w:rPr>
                            <w:t>Management Move</w:t>
                          </w:r>
                          <w:r w:rsidR="00D10515" w:rsidRPr="00D10515">
                            <w:rPr>
                              <w:rFonts w:ascii="Verdana" w:eastAsia="Verdana" w:hAnsi="Verdana"/>
                              <w:b/>
                              <w:bCs/>
                              <w:color w:val="000000"/>
                              <w:sz w:val="56"/>
                              <w:szCs w:val="56"/>
                              <w:lang w:val="en-US"/>
                            </w:rPr>
                            <w:t xml:space="preserve"> Policy</w:t>
                          </w:r>
                        </w:p>
                      </w:txbxContent>
                    </v:textbox>
                    <w10:wrap anchorx="page" anchory="page"/>
                  </v:rect>
                </w:pict>
              </mc:Fallback>
            </mc:AlternateContent>
          </w:r>
          <w:r w:rsidR="00BE746E">
            <w:rPr>
              <w:rFonts w:ascii="Arial" w:hAnsi="Arial" w:cs="Arial"/>
              <w:b/>
              <w:bCs/>
            </w:rPr>
            <w:br w:type="page"/>
          </w:r>
        </w:p>
      </w:sdtContent>
    </w:sdt>
    <w:p w14:paraId="5A278FEB" w14:textId="32826F95" w:rsidR="00F15ACE" w:rsidRPr="00A009FA" w:rsidRDefault="0060316A" w:rsidP="007C7613">
      <w:pPr>
        <w:pStyle w:val="Heading1"/>
        <w:rPr>
          <w:rFonts w:ascii="Verdana" w:hAnsi="Verdana" w:cs="Arial"/>
          <w:b/>
          <w:bCs/>
          <w:color w:val="196533"/>
        </w:rPr>
      </w:pPr>
      <w:r>
        <w:rPr>
          <w:rFonts w:ascii="Verdana" w:hAnsi="Verdana" w:cs="Arial"/>
          <w:b/>
          <w:bCs/>
          <w:color w:val="196533"/>
        </w:rPr>
        <w:lastRenderedPageBreak/>
        <w:t>Management Move</w:t>
      </w:r>
      <w:r w:rsidR="009C6D4E">
        <w:rPr>
          <w:rFonts w:ascii="Verdana" w:hAnsi="Verdana" w:cs="Arial"/>
          <w:b/>
          <w:bCs/>
          <w:color w:val="196533"/>
        </w:rPr>
        <w:t xml:space="preserve"> Policy Quality Record</w:t>
      </w:r>
    </w:p>
    <w:p w14:paraId="4C969E95" w14:textId="77777777" w:rsidR="0019525C" w:rsidRDefault="0019525C" w:rsidP="0019525C">
      <w:pPr>
        <w:rPr>
          <w:rFonts w:ascii="Arial" w:hAnsi="Arial" w:cs="Arial"/>
          <w:sz w:val="20"/>
          <w:szCs w:val="20"/>
        </w:rPr>
      </w:pPr>
    </w:p>
    <w:tbl>
      <w:tblPr>
        <w:tblStyle w:val="TableGrid"/>
        <w:tblW w:w="0" w:type="auto"/>
        <w:tblLook w:val="04A0" w:firstRow="1" w:lastRow="0" w:firstColumn="1" w:lastColumn="0" w:noHBand="0" w:noVBand="1"/>
      </w:tblPr>
      <w:tblGrid>
        <w:gridCol w:w="1171"/>
        <w:gridCol w:w="2226"/>
        <w:gridCol w:w="2552"/>
        <w:gridCol w:w="1417"/>
        <w:gridCol w:w="1885"/>
      </w:tblGrid>
      <w:tr w:rsidR="009C6D4E" w14:paraId="59FB849C" w14:textId="77777777" w:rsidTr="00AA61CD">
        <w:trPr>
          <w:trHeight w:val="337"/>
        </w:trPr>
        <w:tc>
          <w:tcPr>
            <w:tcW w:w="1171" w:type="dxa"/>
            <w:shd w:val="clear" w:color="auto" w:fill="C5E0B3" w:themeFill="accent6" w:themeFillTint="66"/>
            <w:vAlign w:val="center"/>
          </w:tcPr>
          <w:p w14:paraId="67E72099" w14:textId="1ADA36B6" w:rsidR="009C6D4E" w:rsidRPr="009C6D4E" w:rsidRDefault="009C6D4E" w:rsidP="009C6D4E">
            <w:pPr>
              <w:jc w:val="center"/>
              <w:rPr>
                <w:rFonts w:ascii="Verdana" w:hAnsi="Verdana" w:cs="Arial"/>
                <w:b/>
                <w:bCs/>
                <w:sz w:val="20"/>
                <w:szCs w:val="20"/>
              </w:rPr>
            </w:pPr>
            <w:r w:rsidRPr="009C6D4E">
              <w:rPr>
                <w:rFonts w:ascii="Verdana" w:hAnsi="Verdana" w:cs="Arial"/>
                <w:b/>
                <w:bCs/>
                <w:sz w:val="20"/>
                <w:szCs w:val="20"/>
              </w:rPr>
              <w:t>Revision</w:t>
            </w:r>
          </w:p>
        </w:tc>
        <w:tc>
          <w:tcPr>
            <w:tcW w:w="2226" w:type="dxa"/>
            <w:shd w:val="clear" w:color="auto" w:fill="C5E0B3" w:themeFill="accent6" w:themeFillTint="66"/>
            <w:vAlign w:val="center"/>
          </w:tcPr>
          <w:p w14:paraId="28DA8399" w14:textId="1EF62BF8" w:rsidR="009C6D4E" w:rsidRPr="009C6D4E" w:rsidRDefault="009C6D4E" w:rsidP="009C6D4E">
            <w:pPr>
              <w:jc w:val="center"/>
              <w:rPr>
                <w:rFonts w:ascii="Verdana" w:hAnsi="Verdana" w:cs="Arial"/>
                <w:b/>
                <w:bCs/>
                <w:sz w:val="20"/>
                <w:szCs w:val="20"/>
              </w:rPr>
            </w:pPr>
            <w:r w:rsidRPr="009C6D4E">
              <w:rPr>
                <w:rFonts w:ascii="Verdana" w:hAnsi="Verdana" w:cs="Arial"/>
                <w:b/>
                <w:bCs/>
                <w:sz w:val="20"/>
                <w:szCs w:val="20"/>
              </w:rPr>
              <w:t>Date</w:t>
            </w:r>
          </w:p>
        </w:tc>
        <w:tc>
          <w:tcPr>
            <w:tcW w:w="2552" w:type="dxa"/>
            <w:shd w:val="clear" w:color="auto" w:fill="C5E0B3" w:themeFill="accent6" w:themeFillTint="66"/>
            <w:vAlign w:val="center"/>
          </w:tcPr>
          <w:p w14:paraId="61F73B47" w14:textId="2C825177" w:rsidR="009C6D4E" w:rsidRPr="009C6D4E" w:rsidRDefault="009C6D4E" w:rsidP="009C6D4E">
            <w:pPr>
              <w:jc w:val="center"/>
              <w:rPr>
                <w:rFonts w:ascii="Verdana" w:hAnsi="Verdana" w:cs="Arial"/>
                <w:b/>
                <w:bCs/>
                <w:sz w:val="20"/>
                <w:szCs w:val="20"/>
              </w:rPr>
            </w:pPr>
            <w:r w:rsidRPr="009C6D4E">
              <w:rPr>
                <w:rFonts w:ascii="Verdana" w:hAnsi="Verdana" w:cs="Arial"/>
                <w:b/>
                <w:bCs/>
                <w:sz w:val="20"/>
                <w:szCs w:val="20"/>
              </w:rPr>
              <w:t>Description</w:t>
            </w:r>
          </w:p>
        </w:tc>
        <w:tc>
          <w:tcPr>
            <w:tcW w:w="1417" w:type="dxa"/>
            <w:shd w:val="clear" w:color="auto" w:fill="C5E0B3" w:themeFill="accent6" w:themeFillTint="66"/>
            <w:vAlign w:val="center"/>
          </w:tcPr>
          <w:p w14:paraId="64AA038F" w14:textId="7686F807" w:rsidR="009C6D4E" w:rsidRPr="009C6D4E" w:rsidRDefault="009C6D4E" w:rsidP="009C6D4E">
            <w:pPr>
              <w:jc w:val="center"/>
              <w:rPr>
                <w:rFonts w:ascii="Verdana" w:hAnsi="Verdana" w:cs="Arial"/>
                <w:b/>
                <w:bCs/>
                <w:sz w:val="20"/>
                <w:szCs w:val="20"/>
              </w:rPr>
            </w:pPr>
            <w:r w:rsidRPr="009C6D4E">
              <w:rPr>
                <w:rFonts w:ascii="Verdana" w:hAnsi="Verdana" w:cs="Arial"/>
                <w:b/>
                <w:bCs/>
                <w:sz w:val="20"/>
                <w:szCs w:val="20"/>
              </w:rPr>
              <w:t>Stage</w:t>
            </w:r>
          </w:p>
        </w:tc>
        <w:tc>
          <w:tcPr>
            <w:tcW w:w="1885" w:type="dxa"/>
            <w:shd w:val="clear" w:color="auto" w:fill="C5E0B3" w:themeFill="accent6" w:themeFillTint="66"/>
            <w:vAlign w:val="center"/>
          </w:tcPr>
          <w:p w14:paraId="69576CF3" w14:textId="3EB9CCC5" w:rsidR="009C6D4E" w:rsidRPr="009C6D4E" w:rsidRDefault="009C6D4E" w:rsidP="009C6D4E">
            <w:pPr>
              <w:jc w:val="center"/>
              <w:rPr>
                <w:rFonts w:ascii="Verdana" w:hAnsi="Verdana" w:cs="Arial"/>
                <w:b/>
                <w:bCs/>
                <w:sz w:val="20"/>
                <w:szCs w:val="20"/>
              </w:rPr>
            </w:pPr>
            <w:r w:rsidRPr="009C6D4E">
              <w:rPr>
                <w:rFonts w:ascii="Verdana" w:hAnsi="Verdana" w:cs="Arial"/>
                <w:b/>
                <w:bCs/>
                <w:sz w:val="20"/>
                <w:szCs w:val="20"/>
              </w:rPr>
              <w:t>Agreed</w:t>
            </w:r>
          </w:p>
        </w:tc>
      </w:tr>
      <w:tr w:rsidR="009C6D4E" w14:paraId="1DEDF472" w14:textId="77777777" w:rsidTr="00AA61CD">
        <w:trPr>
          <w:trHeight w:val="337"/>
        </w:trPr>
        <w:tc>
          <w:tcPr>
            <w:tcW w:w="1171" w:type="dxa"/>
            <w:vAlign w:val="center"/>
          </w:tcPr>
          <w:p w14:paraId="211B48D0" w14:textId="77DDE78B" w:rsidR="009C6D4E" w:rsidRPr="009C6D4E" w:rsidRDefault="009C6D4E" w:rsidP="009C6D4E">
            <w:pPr>
              <w:jc w:val="center"/>
              <w:rPr>
                <w:rFonts w:ascii="Verdana" w:hAnsi="Verdana" w:cs="Arial"/>
                <w:sz w:val="20"/>
                <w:szCs w:val="20"/>
              </w:rPr>
            </w:pPr>
            <w:r w:rsidRPr="009C6D4E">
              <w:rPr>
                <w:rFonts w:ascii="Verdana" w:hAnsi="Verdana" w:cs="Arial"/>
                <w:sz w:val="20"/>
                <w:szCs w:val="20"/>
              </w:rPr>
              <w:t>Draft</w:t>
            </w:r>
          </w:p>
        </w:tc>
        <w:tc>
          <w:tcPr>
            <w:tcW w:w="2226" w:type="dxa"/>
            <w:vAlign w:val="center"/>
          </w:tcPr>
          <w:p w14:paraId="2EC51BDF" w14:textId="0FDC936D" w:rsidR="009C6D4E" w:rsidRPr="009C6D4E" w:rsidRDefault="003C4BF8" w:rsidP="009C6D4E">
            <w:pPr>
              <w:jc w:val="center"/>
              <w:rPr>
                <w:rFonts w:ascii="Verdana" w:hAnsi="Verdana" w:cs="Arial"/>
                <w:sz w:val="20"/>
                <w:szCs w:val="20"/>
              </w:rPr>
            </w:pPr>
            <w:r>
              <w:rPr>
                <w:rFonts w:ascii="Verdana" w:hAnsi="Verdana" w:cs="Arial"/>
                <w:sz w:val="20"/>
                <w:szCs w:val="20"/>
              </w:rPr>
              <w:t>20 May 2025</w:t>
            </w:r>
          </w:p>
        </w:tc>
        <w:tc>
          <w:tcPr>
            <w:tcW w:w="2552" w:type="dxa"/>
            <w:vAlign w:val="center"/>
          </w:tcPr>
          <w:p w14:paraId="5ACAF85A" w14:textId="799BE38A" w:rsidR="009C6D4E" w:rsidRPr="009C6D4E" w:rsidRDefault="009C6D4E" w:rsidP="009C6D4E">
            <w:pPr>
              <w:jc w:val="center"/>
              <w:rPr>
                <w:rFonts w:ascii="Verdana" w:hAnsi="Verdana" w:cs="Arial"/>
                <w:sz w:val="20"/>
                <w:szCs w:val="20"/>
              </w:rPr>
            </w:pPr>
            <w:r w:rsidRPr="009C6D4E">
              <w:rPr>
                <w:rFonts w:ascii="Verdana" w:hAnsi="Verdana" w:cs="Arial"/>
                <w:sz w:val="20"/>
                <w:szCs w:val="20"/>
              </w:rPr>
              <w:t>First revision</w:t>
            </w:r>
          </w:p>
        </w:tc>
        <w:tc>
          <w:tcPr>
            <w:tcW w:w="1417" w:type="dxa"/>
            <w:vAlign w:val="center"/>
          </w:tcPr>
          <w:p w14:paraId="37A67355" w14:textId="57E3E8BD" w:rsidR="009C6D4E" w:rsidRPr="009C6D4E" w:rsidRDefault="009C6D4E" w:rsidP="009C6D4E">
            <w:pPr>
              <w:jc w:val="center"/>
              <w:rPr>
                <w:rFonts w:ascii="Verdana" w:hAnsi="Verdana" w:cs="Arial"/>
                <w:sz w:val="20"/>
                <w:szCs w:val="20"/>
              </w:rPr>
            </w:pPr>
            <w:r w:rsidRPr="009C6D4E">
              <w:rPr>
                <w:rFonts w:ascii="Verdana" w:hAnsi="Verdana" w:cs="Arial"/>
                <w:sz w:val="20"/>
                <w:szCs w:val="20"/>
              </w:rPr>
              <w:t>Draft</w:t>
            </w:r>
          </w:p>
        </w:tc>
        <w:tc>
          <w:tcPr>
            <w:tcW w:w="1885" w:type="dxa"/>
            <w:vAlign w:val="center"/>
          </w:tcPr>
          <w:p w14:paraId="07A3472B" w14:textId="320C44EE" w:rsidR="009C6D4E" w:rsidRPr="009C6D4E" w:rsidRDefault="00AA61CD" w:rsidP="009C6D4E">
            <w:pPr>
              <w:jc w:val="center"/>
              <w:rPr>
                <w:rFonts w:ascii="Verdana" w:hAnsi="Verdana" w:cs="Arial"/>
                <w:sz w:val="20"/>
                <w:szCs w:val="20"/>
              </w:rPr>
            </w:pPr>
            <w:r>
              <w:rPr>
                <w:rFonts w:ascii="Verdana" w:hAnsi="Verdana" w:cs="Arial"/>
                <w:sz w:val="20"/>
                <w:szCs w:val="20"/>
              </w:rPr>
              <w:t>1 August 2025</w:t>
            </w:r>
          </w:p>
        </w:tc>
      </w:tr>
      <w:tr w:rsidR="006862C7" w14:paraId="2F54221D" w14:textId="77777777" w:rsidTr="00AA61CD">
        <w:trPr>
          <w:trHeight w:val="337"/>
        </w:trPr>
        <w:tc>
          <w:tcPr>
            <w:tcW w:w="1171" w:type="dxa"/>
            <w:vAlign w:val="center"/>
          </w:tcPr>
          <w:p w14:paraId="2C204ED0" w14:textId="12261B66" w:rsidR="006862C7" w:rsidRPr="009C6D4E" w:rsidRDefault="006862C7" w:rsidP="009C6D4E">
            <w:pPr>
              <w:jc w:val="center"/>
              <w:rPr>
                <w:rFonts w:ascii="Verdana" w:hAnsi="Verdana" w:cs="Arial"/>
                <w:sz w:val="20"/>
                <w:szCs w:val="20"/>
              </w:rPr>
            </w:pPr>
            <w:r>
              <w:rPr>
                <w:rFonts w:ascii="Verdana" w:hAnsi="Verdana" w:cs="Arial"/>
                <w:sz w:val="20"/>
                <w:szCs w:val="20"/>
              </w:rPr>
              <w:t>Draft</w:t>
            </w:r>
          </w:p>
        </w:tc>
        <w:tc>
          <w:tcPr>
            <w:tcW w:w="2226" w:type="dxa"/>
            <w:vAlign w:val="center"/>
          </w:tcPr>
          <w:p w14:paraId="6E7C430D" w14:textId="7C44CF87" w:rsidR="006862C7" w:rsidRDefault="006862C7" w:rsidP="009C6D4E">
            <w:pPr>
              <w:jc w:val="center"/>
              <w:rPr>
                <w:rFonts w:ascii="Verdana" w:hAnsi="Verdana" w:cs="Arial"/>
                <w:sz w:val="20"/>
                <w:szCs w:val="20"/>
              </w:rPr>
            </w:pPr>
            <w:r>
              <w:rPr>
                <w:rFonts w:ascii="Verdana" w:hAnsi="Verdana" w:cs="Arial"/>
                <w:sz w:val="20"/>
                <w:szCs w:val="20"/>
              </w:rPr>
              <w:t>1 August 2025</w:t>
            </w:r>
          </w:p>
        </w:tc>
        <w:tc>
          <w:tcPr>
            <w:tcW w:w="2552" w:type="dxa"/>
            <w:vAlign w:val="center"/>
          </w:tcPr>
          <w:p w14:paraId="30253120" w14:textId="3FF97AE5" w:rsidR="006862C7" w:rsidRPr="009C6D4E" w:rsidRDefault="006862C7" w:rsidP="009C6D4E">
            <w:pPr>
              <w:jc w:val="center"/>
              <w:rPr>
                <w:rFonts w:ascii="Verdana" w:hAnsi="Verdana" w:cs="Arial"/>
                <w:sz w:val="20"/>
                <w:szCs w:val="20"/>
              </w:rPr>
            </w:pPr>
            <w:r>
              <w:rPr>
                <w:rFonts w:ascii="Verdana" w:hAnsi="Verdana" w:cs="Arial"/>
                <w:sz w:val="20"/>
                <w:szCs w:val="20"/>
              </w:rPr>
              <w:t>Second revision</w:t>
            </w:r>
          </w:p>
        </w:tc>
        <w:tc>
          <w:tcPr>
            <w:tcW w:w="1417" w:type="dxa"/>
            <w:vAlign w:val="center"/>
          </w:tcPr>
          <w:p w14:paraId="1DDA6594" w14:textId="63FC6666" w:rsidR="006862C7" w:rsidRPr="009C6D4E" w:rsidRDefault="006862C7" w:rsidP="009C6D4E">
            <w:pPr>
              <w:jc w:val="center"/>
              <w:rPr>
                <w:rFonts w:ascii="Verdana" w:hAnsi="Verdana" w:cs="Arial"/>
                <w:sz w:val="20"/>
                <w:szCs w:val="20"/>
              </w:rPr>
            </w:pPr>
            <w:r>
              <w:rPr>
                <w:rFonts w:ascii="Verdana" w:hAnsi="Verdana" w:cs="Arial"/>
                <w:sz w:val="20"/>
                <w:szCs w:val="20"/>
              </w:rPr>
              <w:t>Draft</w:t>
            </w:r>
          </w:p>
        </w:tc>
        <w:tc>
          <w:tcPr>
            <w:tcW w:w="1885" w:type="dxa"/>
            <w:vAlign w:val="center"/>
          </w:tcPr>
          <w:p w14:paraId="5E77A725" w14:textId="3EF8612C" w:rsidR="006862C7" w:rsidRPr="009C6D4E" w:rsidRDefault="00AA61CD" w:rsidP="009C6D4E">
            <w:pPr>
              <w:jc w:val="center"/>
              <w:rPr>
                <w:rFonts w:ascii="Verdana" w:hAnsi="Verdana" w:cs="Arial"/>
                <w:sz w:val="20"/>
                <w:szCs w:val="20"/>
              </w:rPr>
            </w:pPr>
            <w:r>
              <w:rPr>
                <w:rFonts w:ascii="Verdana" w:hAnsi="Verdana" w:cs="Arial"/>
                <w:sz w:val="20"/>
                <w:szCs w:val="20"/>
              </w:rPr>
              <w:t>22 September 2025</w:t>
            </w:r>
          </w:p>
        </w:tc>
      </w:tr>
      <w:tr w:rsidR="009C6D4E" w14:paraId="76D453A4" w14:textId="77777777" w:rsidTr="00AA61CD">
        <w:trPr>
          <w:trHeight w:val="337"/>
        </w:trPr>
        <w:tc>
          <w:tcPr>
            <w:tcW w:w="1171" w:type="dxa"/>
            <w:vAlign w:val="center"/>
          </w:tcPr>
          <w:p w14:paraId="4CC77941" w14:textId="051D9CF7" w:rsidR="009C6D4E" w:rsidRPr="009C6D4E" w:rsidRDefault="009C6D4E" w:rsidP="009C6D4E">
            <w:pPr>
              <w:jc w:val="center"/>
              <w:rPr>
                <w:rFonts w:ascii="Verdana" w:hAnsi="Verdana" w:cs="Arial"/>
                <w:sz w:val="20"/>
                <w:szCs w:val="20"/>
              </w:rPr>
            </w:pPr>
            <w:r w:rsidRPr="009C6D4E">
              <w:rPr>
                <w:rFonts w:ascii="Verdana" w:hAnsi="Verdana" w:cs="Arial"/>
                <w:sz w:val="20"/>
                <w:szCs w:val="20"/>
              </w:rPr>
              <w:t>Draft</w:t>
            </w:r>
          </w:p>
        </w:tc>
        <w:tc>
          <w:tcPr>
            <w:tcW w:w="2226" w:type="dxa"/>
            <w:vAlign w:val="center"/>
          </w:tcPr>
          <w:p w14:paraId="1B83832A" w14:textId="278DDE7B" w:rsidR="009C6D4E" w:rsidRPr="009C6D4E" w:rsidRDefault="002467BC" w:rsidP="009C6D4E">
            <w:pPr>
              <w:jc w:val="center"/>
              <w:rPr>
                <w:rFonts w:ascii="Verdana" w:hAnsi="Verdana" w:cs="Arial"/>
                <w:sz w:val="20"/>
                <w:szCs w:val="20"/>
              </w:rPr>
            </w:pPr>
            <w:r>
              <w:rPr>
                <w:rFonts w:ascii="Verdana" w:hAnsi="Verdana" w:cs="Arial"/>
                <w:sz w:val="20"/>
                <w:szCs w:val="20"/>
              </w:rPr>
              <w:t>22 September 2025</w:t>
            </w:r>
          </w:p>
        </w:tc>
        <w:tc>
          <w:tcPr>
            <w:tcW w:w="2552" w:type="dxa"/>
            <w:vAlign w:val="center"/>
          </w:tcPr>
          <w:p w14:paraId="1F4B9FDA" w14:textId="33360162" w:rsidR="009C6D4E" w:rsidRPr="009C6D4E" w:rsidRDefault="009C6D4E" w:rsidP="009C6D4E">
            <w:pPr>
              <w:jc w:val="center"/>
              <w:rPr>
                <w:rFonts w:ascii="Verdana" w:hAnsi="Verdana" w:cs="Arial"/>
                <w:sz w:val="20"/>
                <w:szCs w:val="20"/>
              </w:rPr>
            </w:pPr>
            <w:proofErr w:type="spellStart"/>
            <w:r w:rsidRPr="009C6D4E">
              <w:rPr>
                <w:rFonts w:ascii="Verdana" w:hAnsi="Verdana" w:cs="Arial"/>
                <w:sz w:val="20"/>
                <w:szCs w:val="20"/>
              </w:rPr>
              <w:t>EqIA</w:t>
            </w:r>
            <w:proofErr w:type="spellEnd"/>
          </w:p>
        </w:tc>
        <w:tc>
          <w:tcPr>
            <w:tcW w:w="1417" w:type="dxa"/>
            <w:vAlign w:val="center"/>
          </w:tcPr>
          <w:p w14:paraId="33402D83" w14:textId="22E703F4" w:rsidR="009C6D4E" w:rsidRPr="009C6D4E" w:rsidRDefault="009C6D4E" w:rsidP="009C6D4E">
            <w:pPr>
              <w:jc w:val="center"/>
              <w:rPr>
                <w:rFonts w:ascii="Verdana" w:hAnsi="Verdana" w:cs="Arial"/>
                <w:sz w:val="20"/>
                <w:szCs w:val="20"/>
              </w:rPr>
            </w:pPr>
            <w:r w:rsidRPr="009C6D4E">
              <w:rPr>
                <w:rFonts w:ascii="Verdana" w:hAnsi="Verdana" w:cs="Arial"/>
                <w:sz w:val="20"/>
                <w:szCs w:val="20"/>
              </w:rPr>
              <w:t>Draft</w:t>
            </w:r>
          </w:p>
        </w:tc>
        <w:tc>
          <w:tcPr>
            <w:tcW w:w="1885" w:type="dxa"/>
            <w:vAlign w:val="center"/>
          </w:tcPr>
          <w:p w14:paraId="401EC0B9" w14:textId="4AAC38E4" w:rsidR="009C6D4E" w:rsidRPr="009C6D4E" w:rsidRDefault="00AA61CD" w:rsidP="009C6D4E">
            <w:pPr>
              <w:jc w:val="center"/>
              <w:rPr>
                <w:rFonts w:ascii="Verdana" w:hAnsi="Verdana" w:cs="Arial"/>
                <w:sz w:val="20"/>
                <w:szCs w:val="20"/>
              </w:rPr>
            </w:pPr>
            <w:r>
              <w:rPr>
                <w:rFonts w:ascii="Verdana" w:hAnsi="Verdana" w:cs="Arial"/>
                <w:sz w:val="20"/>
                <w:szCs w:val="20"/>
              </w:rPr>
              <w:t>22 September 2025</w:t>
            </w:r>
          </w:p>
        </w:tc>
      </w:tr>
      <w:tr w:rsidR="009C6D4E" w14:paraId="652C9464" w14:textId="77777777" w:rsidTr="00AA61CD">
        <w:trPr>
          <w:trHeight w:val="673"/>
        </w:trPr>
        <w:tc>
          <w:tcPr>
            <w:tcW w:w="1171" w:type="dxa"/>
            <w:vAlign w:val="center"/>
          </w:tcPr>
          <w:p w14:paraId="4A99C3FF" w14:textId="5CF162E3" w:rsidR="009C6D4E" w:rsidRPr="009C6D4E" w:rsidRDefault="009C6D4E" w:rsidP="009C6D4E">
            <w:pPr>
              <w:jc w:val="center"/>
              <w:rPr>
                <w:rFonts w:ascii="Verdana" w:hAnsi="Verdana" w:cs="Arial"/>
                <w:sz w:val="20"/>
                <w:szCs w:val="20"/>
              </w:rPr>
            </w:pPr>
            <w:r w:rsidRPr="009C6D4E">
              <w:rPr>
                <w:rFonts w:ascii="Verdana" w:hAnsi="Verdana" w:cs="Arial"/>
                <w:sz w:val="20"/>
                <w:szCs w:val="20"/>
              </w:rPr>
              <w:t>Draft</w:t>
            </w:r>
          </w:p>
        </w:tc>
        <w:tc>
          <w:tcPr>
            <w:tcW w:w="2226" w:type="dxa"/>
            <w:vAlign w:val="center"/>
          </w:tcPr>
          <w:p w14:paraId="0800EC93" w14:textId="77777777" w:rsidR="009C6D4E" w:rsidRPr="009C6D4E" w:rsidRDefault="009C6D4E" w:rsidP="009C6D4E">
            <w:pPr>
              <w:jc w:val="center"/>
              <w:rPr>
                <w:rFonts w:ascii="Verdana" w:hAnsi="Verdana" w:cs="Arial"/>
                <w:sz w:val="20"/>
                <w:szCs w:val="20"/>
              </w:rPr>
            </w:pPr>
          </w:p>
        </w:tc>
        <w:tc>
          <w:tcPr>
            <w:tcW w:w="2552" w:type="dxa"/>
            <w:vAlign w:val="center"/>
          </w:tcPr>
          <w:p w14:paraId="26807C33" w14:textId="18F7534D" w:rsidR="009C6D4E" w:rsidRPr="009C6D4E" w:rsidRDefault="009C6D4E" w:rsidP="009C6D4E">
            <w:pPr>
              <w:jc w:val="center"/>
              <w:rPr>
                <w:rFonts w:ascii="Verdana" w:hAnsi="Verdana" w:cs="Arial"/>
                <w:sz w:val="20"/>
                <w:szCs w:val="20"/>
              </w:rPr>
            </w:pPr>
            <w:r w:rsidRPr="009C6D4E">
              <w:rPr>
                <w:rFonts w:ascii="Verdana" w:hAnsi="Verdana" w:cs="Arial"/>
                <w:sz w:val="20"/>
                <w:szCs w:val="20"/>
              </w:rPr>
              <w:t>Single Member Decision</w:t>
            </w:r>
          </w:p>
        </w:tc>
        <w:tc>
          <w:tcPr>
            <w:tcW w:w="1417" w:type="dxa"/>
            <w:vAlign w:val="center"/>
          </w:tcPr>
          <w:p w14:paraId="2A297E3B" w14:textId="074BD3D6" w:rsidR="009C6D4E" w:rsidRPr="009C6D4E" w:rsidRDefault="003A37B6" w:rsidP="009C6D4E">
            <w:pPr>
              <w:jc w:val="center"/>
              <w:rPr>
                <w:rFonts w:ascii="Verdana" w:hAnsi="Verdana" w:cs="Arial"/>
                <w:sz w:val="20"/>
                <w:szCs w:val="20"/>
              </w:rPr>
            </w:pPr>
            <w:r>
              <w:rPr>
                <w:rFonts w:ascii="Verdana" w:hAnsi="Verdana" w:cs="Arial"/>
                <w:sz w:val="20"/>
                <w:szCs w:val="20"/>
              </w:rPr>
              <w:t>Draft</w:t>
            </w:r>
          </w:p>
        </w:tc>
        <w:tc>
          <w:tcPr>
            <w:tcW w:w="1885" w:type="dxa"/>
            <w:vAlign w:val="center"/>
          </w:tcPr>
          <w:p w14:paraId="14DC5EC6" w14:textId="77777777" w:rsidR="009C6D4E" w:rsidRPr="009C6D4E" w:rsidRDefault="009C6D4E" w:rsidP="009C6D4E">
            <w:pPr>
              <w:jc w:val="center"/>
              <w:rPr>
                <w:rFonts w:ascii="Verdana" w:hAnsi="Verdana" w:cs="Arial"/>
                <w:sz w:val="20"/>
                <w:szCs w:val="20"/>
              </w:rPr>
            </w:pPr>
          </w:p>
        </w:tc>
      </w:tr>
    </w:tbl>
    <w:p w14:paraId="261ECFFA" w14:textId="77777777" w:rsidR="0019525C" w:rsidRDefault="0019525C" w:rsidP="0019525C">
      <w:pPr>
        <w:rPr>
          <w:rFonts w:ascii="Arial" w:hAnsi="Arial" w:cs="Arial"/>
          <w:sz w:val="20"/>
          <w:szCs w:val="20"/>
        </w:rPr>
      </w:pPr>
    </w:p>
    <w:p w14:paraId="5899495F" w14:textId="77777777" w:rsidR="009C6D4E" w:rsidRDefault="009C6D4E" w:rsidP="0019525C">
      <w:pPr>
        <w:rPr>
          <w:rFonts w:ascii="Arial" w:hAnsi="Arial" w:cs="Arial"/>
          <w:b/>
          <w:bCs/>
          <w:sz w:val="20"/>
          <w:szCs w:val="20"/>
        </w:rPr>
      </w:pPr>
    </w:p>
    <w:p w14:paraId="3301764A" w14:textId="0BA0B92D" w:rsidR="0019525C" w:rsidRPr="00DE063F" w:rsidRDefault="0019525C" w:rsidP="0019525C">
      <w:pPr>
        <w:rPr>
          <w:rFonts w:ascii="Verdana" w:hAnsi="Verdana" w:cs="Arial"/>
          <w:b/>
          <w:bCs/>
          <w:sz w:val="20"/>
          <w:szCs w:val="20"/>
        </w:rPr>
      </w:pPr>
      <w:r w:rsidRPr="00DE063F">
        <w:rPr>
          <w:rFonts w:ascii="Verdana" w:hAnsi="Verdana" w:cs="Arial"/>
          <w:b/>
          <w:bCs/>
          <w:sz w:val="20"/>
          <w:szCs w:val="20"/>
        </w:rPr>
        <w:t>Author and Version information</w:t>
      </w:r>
      <w:r w:rsidRPr="00DE063F">
        <w:rPr>
          <w:rFonts w:ascii="Verdana" w:hAnsi="Verdana" w:cs="Arial"/>
          <w:b/>
          <w:bCs/>
          <w:sz w:val="20"/>
          <w:szCs w:val="20"/>
        </w:rPr>
        <w:tab/>
      </w:r>
      <w:r w:rsidRPr="00DE063F">
        <w:rPr>
          <w:rFonts w:ascii="Verdana" w:hAnsi="Verdana" w:cs="Arial"/>
          <w:b/>
          <w:bCs/>
          <w:sz w:val="20"/>
          <w:szCs w:val="20"/>
        </w:rPr>
        <w:tab/>
      </w:r>
    </w:p>
    <w:p w14:paraId="5A23CCEC" w14:textId="589023B6" w:rsidR="0019525C" w:rsidRPr="00DE063F" w:rsidRDefault="0019525C" w:rsidP="0019525C">
      <w:pPr>
        <w:rPr>
          <w:rFonts w:ascii="Verdana" w:hAnsi="Verdana" w:cs="Arial"/>
          <w:sz w:val="20"/>
          <w:szCs w:val="20"/>
        </w:rPr>
      </w:pPr>
      <w:r w:rsidRPr="00DE063F">
        <w:rPr>
          <w:rFonts w:ascii="Verdana" w:hAnsi="Verdana" w:cs="Arial"/>
          <w:b/>
          <w:bCs/>
          <w:sz w:val="20"/>
          <w:szCs w:val="20"/>
        </w:rPr>
        <w:t>Name</w:t>
      </w:r>
      <w:r w:rsidR="00D10515" w:rsidRPr="00DE063F">
        <w:rPr>
          <w:rFonts w:ascii="Verdana" w:hAnsi="Verdana" w:cs="Arial"/>
          <w:b/>
          <w:bCs/>
          <w:sz w:val="20"/>
          <w:szCs w:val="20"/>
        </w:rPr>
        <w:t>:</w:t>
      </w:r>
      <w:r w:rsidR="00D10515" w:rsidRPr="00DE063F">
        <w:rPr>
          <w:rFonts w:ascii="Verdana" w:hAnsi="Verdana" w:cs="Arial"/>
          <w:sz w:val="20"/>
          <w:szCs w:val="20"/>
        </w:rPr>
        <w:t xml:space="preserve"> Kayleigh Garner</w:t>
      </w:r>
      <w:r w:rsidRPr="00DE063F">
        <w:rPr>
          <w:rFonts w:ascii="Verdana" w:hAnsi="Verdana" w:cs="Arial"/>
          <w:sz w:val="20"/>
          <w:szCs w:val="20"/>
        </w:rPr>
        <w:tab/>
      </w:r>
      <w:r w:rsidRPr="00DE063F">
        <w:rPr>
          <w:rFonts w:ascii="Verdana" w:hAnsi="Verdana" w:cs="Arial"/>
          <w:sz w:val="20"/>
          <w:szCs w:val="20"/>
        </w:rPr>
        <w:tab/>
      </w:r>
      <w:r w:rsidRPr="00DE063F">
        <w:rPr>
          <w:rFonts w:ascii="Verdana" w:hAnsi="Verdana" w:cs="Arial"/>
          <w:sz w:val="20"/>
          <w:szCs w:val="20"/>
        </w:rPr>
        <w:tab/>
      </w:r>
      <w:r w:rsidRPr="00DE063F">
        <w:rPr>
          <w:rFonts w:ascii="Verdana" w:hAnsi="Verdana" w:cs="Arial"/>
          <w:b/>
          <w:bCs/>
          <w:sz w:val="20"/>
          <w:szCs w:val="20"/>
        </w:rPr>
        <w:t>Approved by</w:t>
      </w:r>
      <w:r w:rsidR="00D10515" w:rsidRPr="00DE063F">
        <w:rPr>
          <w:rFonts w:ascii="Verdana" w:hAnsi="Verdana" w:cs="Arial"/>
          <w:b/>
          <w:bCs/>
          <w:sz w:val="20"/>
          <w:szCs w:val="20"/>
        </w:rPr>
        <w:t>:</w:t>
      </w:r>
      <w:r w:rsidR="00D10515" w:rsidRPr="00DE063F">
        <w:rPr>
          <w:rFonts w:ascii="Verdana" w:hAnsi="Verdana" w:cs="Arial"/>
          <w:sz w:val="20"/>
          <w:szCs w:val="20"/>
        </w:rPr>
        <w:t xml:space="preserve"> </w:t>
      </w:r>
      <w:r w:rsidR="002467BC">
        <w:rPr>
          <w:rFonts w:ascii="Verdana" w:hAnsi="Verdana" w:cs="Arial"/>
          <w:color w:val="FF0000"/>
          <w:sz w:val="20"/>
          <w:szCs w:val="20"/>
        </w:rPr>
        <w:t>IN DRAFT</w:t>
      </w:r>
      <w:r w:rsidRPr="00DE063F">
        <w:rPr>
          <w:rFonts w:ascii="Verdana" w:hAnsi="Verdana" w:cs="Arial"/>
          <w:sz w:val="20"/>
          <w:szCs w:val="20"/>
        </w:rPr>
        <w:tab/>
      </w:r>
    </w:p>
    <w:p w14:paraId="2A7963FC" w14:textId="3CFFF959" w:rsidR="0019525C" w:rsidRPr="00DE063F" w:rsidRDefault="0019525C" w:rsidP="0019525C">
      <w:pPr>
        <w:rPr>
          <w:rFonts w:ascii="Verdana" w:hAnsi="Verdana" w:cs="Arial"/>
          <w:sz w:val="20"/>
          <w:szCs w:val="20"/>
        </w:rPr>
      </w:pPr>
      <w:r w:rsidRPr="00DE063F">
        <w:rPr>
          <w:rFonts w:ascii="Verdana" w:hAnsi="Verdana" w:cs="Arial"/>
          <w:b/>
          <w:bCs/>
          <w:sz w:val="20"/>
          <w:szCs w:val="20"/>
        </w:rPr>
        <w:t>Version no</w:t>
      </w:r>
      <w:r w:rsidR="00D10515" w:rsidRPr="00DE063F">
        <w:rPr>
          <w:rFonts w:ascii="Verdana" w:hAnsi="Verdana" w:cs="Arial"/>
          <w:b/>
          <w:bCs/>
          <w:sz w:val="20"/>
          <w:szCs w:val="20"/>
        </w:rPr>
        <w:t>:</w:t>
      </w:r>
      <w:r w:rsidR="00D10515" w:rsidRPr="00DE063F">
        <w:rPr>
          <w:rFonts w:ascii="Verdana" w:hAnsi="Verdana" w:cs="Arial"/>
          <w:sz w:val="20"/>
          <w:szCs w:val="20"/>
        </w:rPr>
        <w:t xml:space="preserve"> 1</w:t>
      </w:r>
    </w:p>
    <w:p w14:paraId="0DFD83C1" w14:textId="5B3F3070" w:rsidR="0019525C" w:rsidRPr="00DE063F" w:rsidRDefault="0019525C" w:rsidP="0019525C">
      <w:pPr>
        <w:rPr>
          <w:rFonts w:ascii="Verdana" w:hAnsi="Verdana" w:cs="Arial"/>
          <w:sz w:val="20"/>
          <w:szCs w:val="20"/>
        </w:rPr>
      </w:pPr>
      <w:r w:rsidRPr="00DE063F">
        <w:rPr>
          <w:rFonts w:ascii="Verdana" w:hAnsi="Verdana" w:cs="Arial"/>
          <w:b/>
          <w:bCs/>
          <w:sz w:val="20"/>
          <w:szCs w:val="20"/>
        </w:rPr>
        <w:t>Date</w:t>
      </w:r>
      <w:r w:rsidR="00D10515" w:rsidRPr="00DE063F">
        <w:rPr>
          <w:rFonts w:ascii="Verdana" w:hAnsi="Verdana" w:cs="Arial"/>
          <w:b/>
          <w:bCs/>
          <w:sz w:val="20"/>
          <w:szCs w:val="20"/>
        </w:rPr>
        <w:t>:</w:t>
      </w:r>
      <w:r w:rsidR="00D10515" w:rsidRPr="00DE063F">
        <w:rPr>
          <w:rFonts w:ascii="Verdana" w:hAnsi="Verdana" w:cs="Arial"/>
          <w:sz w:val="20"/>
          <w:szCs w:val="20"/>
        </w:rPr>
        <w:t xml:space="preserve"> </w:t>
      </w:r>
      <w:r w:rsidR="002467BC">
        <w:rPr>
          <w:rFonts w:ascii="Verdana" w:hAnsi="Verdana" w:cs="Arial"/>
          <w:sz w:val="20"/>
          <w:szCs w:val="20"/>
        </w:rPr>
        <w:t>22 September 2025</w:t>
      </w:r>
    </w:p>
    <w:p w14:paraId="51B44859" w14:textId="77777777" w:rsidR="0019525C" w:rsidRDefault="0019525C">
      <w:pPr>
        <w:rPr>
          <w:rFonts w:ascii="Arial" w:hAnsi="Arial" w:cs="Arial"/>
          <w:sz w:val="24"/>
          <w:szCs w:val="24"/>
        </w:rPr>
      </w:pPr>
      <w:r>
        <w:rPr>
          <w:rFonts w:ascii="Arial" w:hAnsi="Arial" w:cs="Arial"/>
          <w:sz w:val="24"/>
          <w:szCs w:val="24"/>
        </w:rPr>
        <w:br w:type="page"/>
      </w:r>
    </w:p>
    <w:p w14:paraId="4D79EC85" w14:textId="1F3D8EA3" w:rsidR="00AC084D" w:rsidRDefault="00EB3547" w:rsidP="009C6D4E">
      <w:pPr>
        <w:pStyle w:val="Heading1"/>
        <w:rPr>
          <w:rFonts w:ascii="Verdana" w:hAnsi="Verdana" w:cs="Arial"/>
          <w:b/>
          <w:bCs/>
          <w:color w:val="196533"/>
        </w:rPr>
      </w:pPr>
      <w:r w:rsidRPr="00A009FA">
        <w:rPr>
          <w:rFonts w:ascii="Verdana" w:hAnsi="Verdana" w:cs="Arial"/>
          <w:b/>
          <w:bCs/>
          <w:color w:val="196533"/>
        </w:rPr>
        <w:lastRenderedPageBreak/>
        <w:t>Contents</w:t>
      </w:r>
    </w:p>
    <w:p w14:paraId="6AB8BA7B" w14:textId="77777777" w:rsidR="009C6D4E" w:rsidRPr="009C6D4E" w:rsidRDefault="009C6D4E" w:rsidP="009C6D4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326"/>
        <w:gridCol w:w="1619"/>
      </w:tblGrid>
      <w:tr w:rsidR="00B96713" w:rsidRPr="00B96713" w14:paraId="356FF199" w14:textId="77777777" w:rsidTr="00F54062">
        <w:trPr>
          <w:tblHeader/>
        </w:trPr>
        <w:tc>
          <w:tcPr>
            <w:tcW w:w="2405" w:type="dxa"/>
          </w:tcPr>
          <w:p w14:paraId="5973849B" w14:textId="0853A162" w:rsidR="004758AD" w:rsidRPr="00B96713" w:rsidRDefault="00EB3547" w:rsidP="007C7613">
            <w:pPr>
              <w:rPr>
                <w:rFonts w:ascii="Verdana" w:hAnsi="Verdana" w:cs="Arial"/>
                <w:b/>
                <w:bCs/>
                <w:color w:val="000000" w:themeColor="text1"/>
                <w:sz w:val="24"/>
                <w:szCs w:val="24"/>
              </w:rPr>
            </w:pPr>
            <w:r w:rsidRPr="00B96713">
              <w:rPr>
                <w:rFonts w:ascii="Verdana" w:hAnsi="Verdana" w:cs="Arial"/>
                <w:b/>
                <w:bCs/>
                <w:color w:val="000000" w:themeColor="text1"/>
                <w:sz w:val="24"/>
                <w:szCs w:val="24"/>
              </w:rPr>
              <w:t>Page</w:t>
            </w:r>
            <w:r w:rsidR="00B96713" w:rsidRPr="00B96713">
              <w:rPr>
                <w:rFonts w:ascii="Verdana" w:hAnsi="Verdana" w:cs="Arial"/>
                <w:b/>
                <w:bCs/>
                <w:color w:val="000000" w:themeColor="text1"/>
                <w:sz w:val="24"/>
                <w:szCs w:val="24"/>
              </w:rPr>
              <w:t>(s)</w:t>
            </w:r>
          </w:p>
        </w:tc>
        <w:tc>
          <w:tcPr>
            <w:tcW w:w="5326" w:type="dxa"/>
          </w:tcPr>
          <w:p w14:paraId="3FB3036D" w14:textId="1CB67230" w:rsidR="004758AD" w:rsidRPr="00B96713" w:rsidRDefault="009C6D4E" w:rsidP="007C7613">
            <w:pPr>
              <w:rPr>
                <w:rFonts w:ascii="Verdana" w:hAnsi="Verdana" w:cs="Arial"/>
                <w:b/>
                <w:bCs/>
                <w:color w:val="000000" w:themeColor="text1"/>
                <w:sz w:val="24"/>
                <w:szCs w:val="24"/>
              </w:rPr>
            </w:pPr>
            <w:r w:rsidRPr="00B96713">
              <w:rPr>
                <w:rFonts w:ascii="Verdana" w:hAnsi="Verdana" w:cs="Arial"/>
                <w:b/>
                <w:bCs/>
                <w:color w:val="000000" w:themeColor="text1"/>
                <w:sz w:val="24"/>
                <w:szCs w:val="24"/>
              </w:rPr>
              <w:t>Description</w:t>
            </w:r>
          </w:p>
        </w:tc>
        <w:tc>
          <w:tcPr>
            <w:tcW w:w="1619" w:type="dxa"/>
          </w:tcPr>
          <w:p w14:paraId="519753A0" w14:textId="5090283C" w:rsidR="004758AD" w:rsidRPr="00B96713" w:rsidRDefault="00D95266" w:rsidP="007C7613">
            <w:pPr>
              <w:rPr>
                <w:rFonts w:ascii="Verdana" w:hAnsi="Verdana" w:cs="Arial"/>
                <w:b/>
                <w:bCs/>
                <w:color w:val="000000" w:themeColor="text1"/>
                <w:sz w:val="24"/>
                <w:szCs w:val="24"/>
              </w:rPr>
            </w:pPr>
            <w:r w:rsidRPr="00B96713">
              <w:rPr>
                <w:rFonts w:ascii="Verdana" w:hAnsi="Verdana" w:cs="Arial"/>
                <w:b/>
                <w:bCs/>
                <w:color w:val="000000" w:themeColor="text1"/>
                <w:sz w:val="24"/>
                <w:szCs w:val="24"/>
              </w:rPr>
              <w:t>Paragraph</w:t>
            </w:r>
          </w:p>
        </w:tc>
      </w:tr>
      <w:tr w:rsidR="00B96713" w:rsidRPr="00B96713" w14:paraId="14906A3B" w14:textId="77777777" w:rsidTr="00F54062">
        <w:tc>
          <w:tcPr>
            <w:tcW w:w="2405" w:type="dxa"/>
          </w:tcPr>
          <w:p w14:paraId="22945792" w14:textId="00A042D7" w:rsidR="00A53D29" w:rsidRPr="00D40C1E" w:rsidRDefault="00B96713" w:rsidP="007C7613">
            <w:pPr>
              <w:rPr>
                <w:rFonts w:ascii="Verdana" w:hAnsi="Verdana" w:cs="Arial"/>
                <w:color w:val="000000" w:themeColor="text1"/>
              </w:rPr>
            </w:pPr>
            <w:r w:rsidRPr="00D40C1E">
              <w:rPr>
                <w:rFonts w:ascii="Verdana" w:hAnsi="Verdana" w:cs="Arial"/>
                <w:color w:val="000000" w:themeColor="text1"/>
              </w:rPr>
              <w:t>3</w:t>
            </w:r>
          </w:p>
        </w:tc>
        <w:tc>
          <w:tcPr>
            <w:tcW w:w="5326" w:type="dxa"/>
          </w:tcPr>
          <w:p w14:paraId="2FF03F7A" w14:textId="30821FF1" w:rsidR="00A53D29" w:rsidRPr="00D40C1E" w:rsidRDefault="00D40C1E" w:rsidP="007C7613">
            <w:pPr>
              <w:rPr>
                <w:rFonts w:ascii="Verdana" w:hAnsi="Verdana" w:cs="Arial"/>
                <w:color w:val="000000" w:themeColor="text1"/>
              </w:rPr>
            </w:pPr>
            <w:r>
              <w:rPr>
                <w:rFonts w:ascii="Verdana" w:hAnsi="Verdana" w:cs="Arial"/>
                <w:color w:val="000000" w:themeColor="text1"/>
              </w:rPr>
              <w:t>Introduct</w:t>
            </w:r>
            <w:r w:rsidR="00D313E0">
              <w:rPr>
                <w:rFonts w:ascii="Verdana" w:hAnsi="Verdana" w:cs="Arial"/>
                <w:color w:val="000000" w:themeColor="text1"/>
              </w:rPr>
              <w:t>ion</w:t>
            </w:r>
          </w:p>
        </w:tc>
        <w:tc>
          <w:tcPr>
            <w:tcW w:w="1619" w:type="dxa"/>
          </w:tcPr>
          <w:p w14:paraId="2EBFF114" w14:textId="197296AF" w:rsidR="00A53D29" w:rsidRPr="00D40C1E" w:rsidRDefault="00D95266" w:rsidP="00D95266">
            <w:pPr>
              <w:jc w:val="right"/>
              <w:rPr>
                <w:rFonts w:ascii="Verdana" w:hAnsi="Verdana" w:cs="Arial"/>
                <w:color w:val="000000" w:themeColor="text1"/>
              </w:rPr>
            </w:pPr>
            <w:r w:rsidRPr="00D40C1E">
              <w:rPr>
                <w:rFonts w:ascii="Verdana" w:hAnsi="Verdana" w:cs="Arial"/>
                <w:color w:val="000000" w:themeColor="text1"/>
              </w:rPr>
              <w:t>1</w:t>
            </w:r>
          </w:p>
        </w:tc>
      </w:tr>
      <w:tr w:rsidR="00B96713" w:rsidRPr="00B96713" w14:paraId="48BAE40A" w14:textId="77777777" w:rsidTr="00F54062">
        <w:tc>
          <w:tcPr>
            <w:tcW w:w="2405" w:type="dxa"/>
          </w:tcPr>
          <w:p w14:paraId="0348045F" w14:textId="1F30D7DF" w:rsidR="004758AD" w:rsidRPr="00D40C1E" w:rsidRDefault="00B96713" w:rsidP="007C7613">
            <w:pPr>
              <w:rPr>
                <w:rFonts w:ascii="Verdana" w:hAnsi="Verdana" w:cs="Arial"/>
                <w:color w:val="000000" w:themeColor="text1"/>
              </w:rPr>
            </w:pPr>
            <w:r w:rsidRPr="00D40C1E">
              <w:rPr>
                <w:rFonts w:ascii="Verdana" w:hAnsi="Verdana" w:cs="Arial"/>
                <w:color w:val="000000" w:themeColor="text1"/>
              </w:rPr>
              <w:t>3</w:t>
            </w:r>
          </w:p>
        </w:tc>
        <w:tc>
          <w:tcPr>
            <w:tcW w:w="5326" w:type="dxa"/>
          </w:tcPr>
          <w:p w14:paraId="7CDC670E" w14:textId="7C693C8D" w:rsidR="004758AD" w:rsidRPr="00D40C1E" w:rsidRDefault="00D313E0" w:rsidP="007C7613">
            <w:pPr>
              <w:rPr>
                <w:rFonts w:ascii="Verdana" w:hAnsi="Verdana" w:cs="Arial"/>
                <w:color w:val="000000" w:themeColor="text1"/>
              </w:rPr>
            </w:pPr>
            <w:r>
              <w:rPr>
                <w:rFonts w:ascii="Verdana" w:hAnsi="Verdana" w:cs="Arial"/>
                <w:color w:val="000000" w:themeColor="text1"/>
              </w:rPr>
              <w:t>Statement</w:t>
            </w:r>
          </w:p>
        </w:tc>
        <w:tc>
          <w:tcPr>
            <w:tcW w:w="1619" w:type="dxa"/>
          </w:tcPr>
          <w:p w14:paraId="2E6A8D49" w14:textId="5C0B6BF3" w:rsidR="004758AD" w:rsidRPr="00D40C1E" w:rsidRDefault="00D95266" w:rsidP="00D95266">
            <w:pPr>
              <w:jc w:val="right"/>
              <w:rPr>
                <w:rFonts w:ascii="Verdana" w:hAnsi="Verdana" w:cs="Arial"/>
                <w:color w:val="000000" w:themeColor="text1"/>
              </w:rPr>
            </w:pPr>
            <w:r w:rsidRPr="00D40C1E">
              <w:rPr>
                <w:rFonts w:ascii="Verdana" w:hAnsi="Verdana" w:cs="Arial"/>
                <w:color w:val="000000" w:themeColor="text1"/>
              </w:rPr>
              <w:t>2</w:t>
            </w:r>
          </w:p>
        </w:tc>
      </w:tr>
      <w:tr w:rsidR="00B96713" w:rsidRPr="00B96713" w14:paraId="263C6892" w14:textId="77777777" w:rsidTr="00F54062">
        <w:tc>
          <w:tcPr>
            <w:tcW w:w="2405" w:type="dxa"/>
          </w:tcPr>
          <w:p w14:paraId="44CB2827" w14:textId="4B8D295F" w:rsidR="004758AD" w:rsidRPr="00D40C1E" w:rsidRDefault="00B96713" w:rsidP="007C7613">
            <w:pPr>
              <w:rPr>
                <w:rFonts w:ascii="Verdana" w:hAnsi="Verdana" w:cs="Arial"/>
                <w:color w:val="000000" w:themeColor="text1"/>
              </w:rPr>
            </w:pPr>
            <w:r w:rsidRPr="00D40C1E">
              <w:rPr>
                <w:rFonts w:ascii="Verdana" w:hAnsi="Verdana" w:cs="Arial"/>
                <w:color w:val="000000" w:themeColor="text1"/>
              </w:rPr>
              <w:t>3</w:t>
            </w:r>
          </w:p>
        </w:tc>
        <w:tc>
          <w:tcPr>
            <w:tcW w:w="5326" w:type="dxa"/>
          </w:tcPr>
          <w:p w14:paraId="40D035D0" w14:textId="2BE5172E" w:rsidR="004758AD" w:rsidRPr="00D40C1E" w:rsidRDefault="00D313E0" w:rsidP="007C7613">
            <w:pPr>
              <w:rPr>
                <w:rFonts w:ascii="Verdana" w:hAnsi="Verdana" w:cs="Arial"/>
                <w:color w:val="000000" w:themeColor="text1"/>
              </w:rPr>
            </w:pPr>
            <w:r>
              <w:rPr>
                <w:rFonts w:ascii="Verdana" w:hAnsi="Verdana" w:cs="Arial"/>
                <w:color w:val="000000" w:themeColor="text1"/>
              </w:rPr>
              <w:t>Legislation</w:t>
            </w:r>
          </w:p>
        </w:tc>
        <w:tc>
          <w:tcPr>
            <w:tcW w:w="1619" w:type="dxa"/>
          </w:tcPr>
          <w:p w14:paraId="0EAD37A5" w14:textId="3D3921D8" w:rsidR="004758AD" w:rsidRPr="00D40C1E" w:rsidRDefault="00D95266" w:rsidP="00D95266">
            <w:pPr>
              <w:jc w:val="right"/>
              <w:rPr>
                <w:rFonts w:ascii="Verdana" w:hAnsi="Verdana" w:cs="Arial"/>
                <w:color w:val="000000" w:themeColor="text1"/>
              </w:rPr>
            </w:pPr>
            <w:r w:rsidRPr="00D40C1E">
              <w:rPr>
                <w:rFonts w:ascii="Verdana" w:hAnsi="Verdana" w:cs="Arial"/>
                <w:color w:val="000000" w:themeColor="text1"/>
              </w:rPr>
              <w:t>3</w:t>
            </w:r>
          </w:p>
        </w:tc>
      </w:tr>
      <w:tr w:rsidR="00D40C1E" w:rsidRPr="00B96713" w14:paraId="5AEE530E" w14:textId="77777777" w:rsidTr="00F54062">
        <w:tc>
          <w:tcPr>
            <w:tcW w:w="2405" w:type="dxa"/>
          </w:tcPr>
          <w:p w14:paraId="608EE89A" w14:textId="37C12E64" w:rsidR="00D40C1E" w:rsidRPr="00D40C1E" w:rsidRDefault="00DE2D7F" w:rsidP="007C7613">
            <w:pPr>
              <w:rPr>
                <w:rFonts w:ascii="Verdana" w:hAnsi="Verdana" w:cs="Arial"/>
                <w:color w:val="000000" w:themeColor="text1"/>
              </w:rPr>
            </w:pPr>
            <w:r>
              <w:rPr>
                <w:rFonts w:ascii="Verdana" w:hAnsi="Verdana" w:cs="Arial"/>
                <w:color w:val="000000" w:themeColor="text1"/>
              </w:rPr>
              <w:t>3 and 4</w:t>
            </w:r>
          </w:p>
        </w:tc>
        <w:tc>
          <w:tcPr>
            <w:tcW w:w="5326" w:type="dxa"/>
          </w:tcPr>
          <w:p w14:paraId="657E407F" w14:textId="41E9B8F9" w:rsidR="00D40C1E" w:rsidRPr="00D40C1E" w:rsidRDefault="00D313E0" w:rsidP="007C7613">
            <w:pPr>
              <w:rPr>
                <w:rFonts w:ascii="Verdana" w:hAnsi="Verdana" w:cs="Arial"/>
                <w:color w:val="000000" w:themeColor="text1"/>
              </w:rPr>
            </w:pPr>
            <w:r>
              <w:rPr>
                <w:rFonts w:ascii="Verdana" w:hAnsi="Verdana" w:cs="Arial"/>
                <w:color w:val="000000" w:themeColor="text1"/>
              </w:rPr>
              <w:t>Purpose</w:t>
            </w:r>
          </w:p>
        </w:tc>
        <w:tc>
          <w:tcPr>
            <w:tcW w:w="1619" w:type="dxa"/>
          </w:tcPr>
          <w:p w14:paraId="377D3F33" w14:textId="72B67B65" w:rsidR="00D40C1E" w:rsidRPr="00D40C1E" w:rsidRDefault="00D40C1E" w:rsidP="00D95266">
            <w:pPr>
              <w:jc w:val="right"/>
              <w:rPr>
                <w:rFonts w:ascii="Verdana" w:hAnsi="Verdana" w:cs="Arial"/>
                <w:color w:val="000000" w:themeColor="text1"/>
              </w:rPr>
            </w:pPr>
            <w:r>
              <w:rPr>
                <w:rFonts w:ascii="Verdana" w:hAnsi="Verdana" w:cs="Arial"/>
                <w:color w:val="000000" w:themeColor="text1"/>
              </w:rPr>
              <w:t>4</w:t>
            </w:r>
          </w:p>
        </w:tc>
      </w:tr>
      <w:tr w:rsidR="00D40C1E" w:rsidRPr="00B96713" w14:paraId="1F247802" w14:textId="77777777" w:rsidTr="00F54062">
        <w:tc>
          <w:tcPr>
            <w:tcW w:w="2405" w:type="dxa"/>
          </w:tcPr>
          <w:p w14:paraId="7EDDEF09" w14:textId="091D8A99" w:rsidR="00D40C1E" w:rsidRPr="00D40C1E" w:rsidRDefault="00DE2D7F" w:rsidP="007C7613">
            <w:pPr>
              <w:rPr>
                <w:rFonts w:ascii="Verdana" w:hAnsi="Verdana" w:cs="Arial"/>
                <w:color w:val="000000" w:themeColor="text1"/>
              </w:rPr>
            </w:pPr>
            <w:r>
              <w:rPr>
                <w:rFonts w:ascii="Verdana" w:hAnsi="Verdana" w:cs="Arial"/>
                <w:color w:val="000000" w:themeColor="text1"/>
              </w:rPr>
              <w:t>4</w:t>
            </w:r>
          </w:p>
        </w:tc>
        <w:tc>
          <w:tcPr>
            <w:tcW w:w="5326" w:type="dxa"/>
          </w:tcPr>
          <w:p w14:paraId="232815C5" w14:textId="4989A09A" w:rsidR="00D40C1E" w:rsidRPr="00D40C1E" w:rsidRDefault="00D313E0" w:rsidP="007C7613">
            <w:pPr>
              <w:rPr>
                <w:rFonts w:ascii="Verdana" w:hAnsi="Verdana" w:cs="Arial"/>
                <w:color w:val="000000" w:themeColor="text1"/>
              </w:rPr>
            </w:pPr>
            <w:r>
              <w:rPr>
                <w:rFonts w:ascii="Verdana" w:hAnsi="Verdana" w:cs="Arial"/>
                <w:color w:val="000000" w:themeColor="text1"/>
              </w:rPr>
              <w:t>Scope</w:t>
            </w:r>
          </w:p>
        </w:tc>
        <w:tc>
          <w:tcPr>
            <w:tcW w:w="1619" w:type="dxa"/>
          </w:tcPr>
          <w:p w14:paraId="53D7F6D0" w14:textId="5DA8CEBF" w:rsidR="00D40C1E" w:rsidRPr="00D40C1E" w:rsidRDefault="00D40C1E" w:rsidP="00D95266">
            <w:pPr>
              <w:jc w:val="right"/>
              <w:rPr>
                <w:rFonts w:ascii="Verdana" w:hAnsi="Verdana" w:cs="Arial"/>
                <w:color w:val="000000" w:themeColor="text1"/>
              </w:rPr>
            </w:pPr>
            <w:r>
              <w:rPr>
                <w:rFonts w:ascii="Verdana" w:hAnsi="Verdana" w:cs="Arial"/>
                <w:color w:val="000000" w:themeColor="text1"/>
              </w:rPr>
              <w:t>5</w:t>
            </w:r>
          </w:p>
        </w:tc>
      </w:tr>
      <w:tr w:rsidR="00D40C1E" w:rsidRPr="00B96713" w14:paraId="76EFDFB5" w14:textId="77777777" w:rsidTr="00F54062">
        <w:tc>
          <w:tcPr>
            <w:tcW w:w="2405" w:type="dxa"/>
          </w:tcPr>
          <w:p w14:paraId="182F4144" w14:textId="4D5AC202" w:rsidR="00D40C1E" w:rsidRPr="00D40C1E" w:rsidRDefault="00DE2D7F" w:rsidP="007C7613">
            <w:pPr>
              <w:rPr>
                <w:rFonts w:ascii="Verdana" w:hAnsi="Verdana" w:cs="Arial"/>
                <w:color w:val="000000" w:themeColor="text1"/>
              </w:rPr>
            </w:pPr>
            <w:r>
              <w:rPr>
                <w:rFonts w:ascii="Verdana" w:hAnsi="Verdana" w:cs="Arial"/>
                <w:color w:val="000000" w:themeColor="text1"/>
              </w:rPr>
              <w:t>4</w:t>
            </w:r>
          </w:p>
        </w:tc>
        <w:tc>
          <w:tcPr>
            <w:tcW w:w="5326" w:type="dxa"/>
          </w:tcPr>
          <w:p w14:paraId="67E77EA1" w14:textId="5BD7DC21" w:rsidR="00D40C1E" w:rsidRPr="00D40C1E" w:rsidRDefault="00D313E0" w:rsidP="007C7613">
            <w:pPr>
              <w:rPr>
                <w:rFonts w:ascii="Verdana" w:hAnsi="Verdana" w:cs="Arial"/>
                <w:color w:val="000000" w:themeColor="text1"/>
              </w:rPr>
            </w:pPr>
            <w:r>
              <w:rPr>
                <w:rFonts w:ascii="Verdana" w:hAnsi="Verdana" w:cs="Arial"/>
                <w:color w:val="000000" w:themeColor="text1"/>
              </w:rPr>
              <w:t>Responsibility</w:t>
            </w:r>
          </w:p>
        </w:tc>
        <w:tc>
          <w:tcPr>
            <w:tcW w:w="1619" w:type="dxa"/>
          </w:tcPr>
          <w:p w14:paraId="36F1D7C8" w14:textId="3010555F" w:rsidR="00D40C1E" w:rsidRPr="00D40C1E" w:rsidRDefault="00D40C1E" w:rsidP="00D95266">
            <w:pPr>
              <w:jc w:val="right"/>
              <w:rPr>
                <w:rFonts w:ascii="Verdana" w:hAnsi="Verdana" w:cs="Arial"/>
                <w:color w:val="000000" w:themeColor="text1"/>
              </w:rPr>
            </w:pPr>
            <w:r>
              <w:rPr>
                <w:rFonts w:ascii="Verdana" w:hAnsi="Verdana" w:cs="Arial"/>
                <w:color w:val="000000" w:themeColor="text1"/>
              </w:rPr>
              <w:t>6</w:t>
            </w:r>
          </w:p>
        </w:tc>
      </w:tr>
      <w:tr w:rsidR="00D40C1E" w:rsidRPr="00B96713" w14:paraId="3D1EC0F0" w14:textId="77777777" w:rsidTr="00F54062">
        <w:tc>
          <w:tcPr>
            <w:tcW w:w="2405" w:type="dxa"/>
          </w:tcPr>
          <w:p w14:paraId="33183424" w14:textId="083859B7" w:rsidR="00D40C1E" w:rsidRPr="00D40C1E" w:rsidRDefault="00DE2D7F" w:rsidP="007C7613">
            <w:pPr>
              <w:rPr>
                <w:rFonts w:ascii="Verdana" w:hAnsi="Verdana" w:cs="Arial"/>
                <w:color w:val="000000" w:themeColor="text1"/>
              </w:rPr>
            </w:pPr>
            <w:r>
              <w:rPr>
                <w:rFonts w:ascii="Verdana" w:hAnsi="Verdana" w:cs="Arial"/>
                <w:color w:val="000000" w:themeColor="text1"/>
              </w:rPr>
              <w:t>4 and 5</w:t>
            </w:r>
          </w:p>
        </w:tc>
        <w:tc>
          <w:tcPr>
            <w:tcW w:w="5326" w:type="dxa"/>
          </w:tcPr>
          <w:p w14:paraId="42950B3D" w14:textId="1722048F" w:rsidR="00D40C1E" w:rsidRPr="00D40C1E" w:rsidRDefault="00D313E0" w:rsidP="007C7613">
            <w:pPr>
              <w:rPr>
                <w:rFonts w:ascii="Verdana" w:hAnsi="Verdana" w:cs="Arial"/>
                <w:color w:val="000000" w:themeColor="text1"/>
              </w:rPr>
            </w:pPr>
            <w:r>
              <w:rPr>
                <w:rFonts w:ascii="Verdana" w:hAnsi="Verdana" w:cs="Arial"/>
                <w:color w:val="000000" w:themeColor="text1"/>
              </w:rPr>
              <w:t>Criteria for a Management Move</w:t>
            </w:r>
          </w:p>
        </w:tc>
        <w:tc>
          <w:tcPr>
            <w:tcW w:w="1619" w:type="dxa"/>
          </w:tcPr>
          <w:p w14:paraId="6ADD0BE8" w14:textId="7DA7EB22" w:rsidR="00D40C1E" w:rsidRPr="00D40C1E" w:rsidRDefault="00D40C1E" w:rsidP="00D95266">
            <w:pPr>
              <w:jc w:val="right"/>
              <w:rPr>
                <w:rFonts w:ascii="Verdana" w:hAnsi="Verdana" w:cs="Arial"/>
                <w:color w:val="000000" w:themeColor="text1"/>
              </w:rPr>
            </w:pPr>
            <w:r>
              <w:rPr>
                <w:rFonts w:ascii="Verdana" w:hAnsi="Verdana" w:cs="Arial"/>
                <w:color w:val="000000" w:themeColor="text1"/>
              </w:rPr>
              <w:t>7</w:t>
            </w:r>
          </w:p>
        </w:tc>
      </w:tr>
      <w:tr w:rsidR="00D40C1E" w:rsidRPr="00B96713" w14:paraId="55561721" w14:textId="77777777" w:rsidTr="00F54062">
        <w:tc>
          <w:tcPr>
            <w:tcW w:w="2405" w:type="dxa"/>
          </w:tcPr>
          <w:p w14:paraId="56888097" w14:textId="05582ACA" w:rsidR="00D40C1E" w:rsidRPr="00D40C1E" w:rsidRDefault="00DE2D7F" w:rsidP="007C7613">
            <w:pPr>
              <w:rPr>
                <w:rFonts w:ascii="Verdana" w:hAnsi="Verdana" w:cs="Arial"/>
                <w:color w:val="000000" w:themeColor="text1"/>
              </w:rPr>
            </w:pPr>
            <w:r>
              <w:rPr>
                <w:rFonts w:ascii="Verdana" w:hAnsi="Verdana" w:cs="Arial"/>
                <w:color w:val="000000" w:themeColor="text1"/>
              </w:rPr>
              <w:t>5 and 6</w:t>
            </w:r>
          </w:p>
        </w:tc>
        <w:tc>
          <w:tcPr>
            <w:tcW w:w="5326" w:type="dxa"/>
          </w:tcPr>
          <w:p w14:paraId="4DB9F380" w14:textId="712F3BC6" w:rsidR="00D40C1E" w:rsidRPr="00D40C1E" w:rsidRDefault="00D313E0" w:rsidP="007C7613">
            <w:pPr>
              <w:rPr>
                <w:rFonts w:ascii="Verdana" w:hAnsi="Verdana" w:cs="Arial"/>
                <w:color w:val="000000" w:themeColor="text1"/>
              </w:rPr>
            </w:pPr>
            <w:r>
              <w:rPr>
                <w:rFonts w:ascii="Verdana" w:hAnsi="Verdana" w:cs="Arial"/>
                <w:color w:val="000000" w:themeColor="text1"/>
              </w:rPr>
              <w:t>Management Move Applications</w:t>
            </w:r>
          </w:p>
        </w:tc>
        <w:tc>
          <w:tcPr>
            <w:tcW w:w="1619" w:type="dxa"/>
          </w:tcPr>
          <w:p w14:paraId="71BF5CC0" w14:textId="2DF47E73" w:rsidR="00D40C1E" w:rsidRPr="00D40C1E" w:rsidRDefault="00D40C1E" w:rsidP="00D95266">
            <w:pPr>
              <w:jc w:val="right"/>
              <w:rPr>
                <w:rFonts w:ascii="Verdana" w:hAnsi="Verdana" w:cs="Arial"/>
                <w:color w:val="000000" w:themeColor="text1"/>
              </w:rPr>
            </w:pPr>
            <w:r>
              <w:rPr>
                <w:rFonts w:ascii="Verdana" w:hAnsi="Verdana" w:cs="Arial"/>
                <w:color w:val="000000" w:themeColor="text1"/>
              </w:rPr>
              <w:t>8</w:t>
            </w:r>
          </w:p>
        </w:tc>
      </w:tr>
      <w:tr w:rsidR="00D40C1E" w:rsidRPr="00B96713" w14:paraId="0495801C" w14:textId="77777777" w:rsidTr="00F54062">
        <w:tc>
          <w:tcPr>
            <w:tcW w:w="2405" w:type="dxa"/>
          </w:tcPr>
          <w:p w14:paraId="50AB6501" w14:textId="587D32B5" w:rsidR="00D40C1E" w:rsidRPr="00D40C1E" w:rsidRDefault="00DE2D7F" w:rsidP="007C7613">
            <w:pPr>
              <w:rPr>
                <w:rFonts w:ascii="Verdana" w:hAnsi="Verdana" w:cs="Arial"/>
                <w:color w:val="000000" w:themeColor="text1"/>
              </w:rPr>
            </w:pPr>
            <w:r>
              <w:rPr>
                <w:rFonts w:ascii="Verdana" w:hAnsi="Verdana" w:cs="Arial"/>
                <w:color w:val="000000" w:themeColor="text1"/>
              </w:rPr>
              <w:t>6, 7 and 8</w:t>
            </w:r>
          </w:p>
        </w:tc>
        <w:tc>
          <w:tcPr>
            <w:tcW w:w="5326" w:type="dxa"/>
          </w:tcPr>
          <w:p w14:paraId="5A4EAAC2" w14:textId="558C3DE0" w:rsidR="00D40C1E" w:rsidRPr="00D40C1E" w:rsidRDefault="00CE3105" w:rsidP="007C7613">
            <w:pPr>
              <w:rPr>
                <w:rFonts w:ascii="Verdana" w:hAnsi="Verdana" w:cs="Arial"/>
                <w:color w:val="000000" w:themeColor="text1"/>
              </w:rPr>
            </w:pPr>
            <w:r>
              <w:rPr>
                <w:rFonts w:ascii="Verdana" w:hAnsi="Verdana" w:cs="Arial"/>
                <w:color w:val="000000" w:themeColor="text1"/>
              </w:rPr>
              <w:t>Supporting Documents</w:t>
            </w:r>
          </w:p>
        </w:tc>
        <w:tc>
          <w:tcPr>
            <w:tcW w:w="1619" w:type="dxa"/>
          </w:tcPr>
          <w:p w14:paraId="16F9B4B0" w14:textId="17A3C870" w:rsidR="00D40C1E" w:rsidRPr="00D40C1E" w:rsidRDefault="00D40C1E" w:rsidP="00D95266">
            <w:pPr>
              <w:jc w:val="right"/>
              <w:rPr>
                <w:rFonts w:ascii="Verdana" w:hAnsi="Verdana" w:cs="Arial"/>
                <w:color w:val="000000" w:themeColor="text1"/>
              </w:rPr>
            </w:pPr>
            <w:r>
              <w:rPr>
                <w:rFonts w:ascii="Verdana" w:hAnsi="Verdana" w:cs="Arial"/>
                <w:color w:val="000000" w:themeColor="text1"/>
              </w:rPr>
              <w:t>9</w:t>
            </w:r>
          </w:p>
        </w:tc>
      </w:tr>
      <w:tr w:rsidR="00D40C1E" w:rsidRPr="00B96713" w14:paraId="12C7E18E" w14:textId="77777777" w:rsidTr="00F54062">
        <w:tc>
          <w:tcPr>
            <w:tcW w:w="2405" w:type="dxa"/>
          </w:tcPr>
          <w:p w14:paraId="148AE8EA" w14:textId="0135C64B" w:rsidR="00D40C1E" w:rsidRPr="00D40C1E" w:rsidRDefault="0090173F" w:rsidP="007C7613">
            <w:pPr>
              <w:rPr>
                <w:rFonts w:ascii="Verdana" w:hAnsi="Verdana" w:cs="Arial"/>
                <w:color w:val="000000" w:themeColor="text1"/>
              </w:rPr>
            </w:pPr>
            <w:r>
              <w:rPr>
                <w:rFonts w:ascii="Verdana" w:hAnsi="Verdana" w:cs="Arial"/>
                <w:color w:val="000000" w:themeColor="text1"/>
              </w:rPr>
              <w:t>8</w:t>
            </w:r>
          </w:p>
        </w:tc>
        <w:tc>
          <w:tcPr>
            <w:tcW w:w="5326" w:type="dxa"/>
          </w:tcPr>
          <w:p w14:paraId="3016152D" w14:textId="5C14DC2A" w:rsidR="00D40C1E" w:rsidRPr="00D40C1E" w:rsidRDefault="00CE3105" w:rsidP="007C7613">
            <w:pPr>
              <w:rPr>
                <w:rFonts w:ascii="Verdana" w:hAnsi="Verdana" w:cs="Arial"/>
                <w:color w:val="000000" w:themeColor="text1"/>
              </w:rPr>
            </w:pPr>
            <w:r>
              <w:rPr>
                <w:rFonts w:ascii="Verdana" w:hAnsi="Verdana" w:cs="Arial"/>
                <w:color w:val="000000" w:themeColor="text1"/>
              </w:rPr>
              <w:t>Partnership Working</w:t>
            </w:r>
          </w:p>
        </w:tc>
        <w:tc>
          <w:tcPr>
            <w:tcW w:w="1619" w:type="dxa"/>
          </w:tcPr>
          <w:p w14:paraId="5A3733B7" w14:textId="0917BDEC" w:rsidR="00D40C1E" w:rsidRPr="00D40C1E" w:rsidRDefault="00D40C1E" w:rsidP="00D95266">
            <w:pPr>
              <w:jc w:val="right"/>
              <w:rPr>
                <w:rFonts w:ascii="Verdana" w:hAnsi="Verdana" w:cs="Arial"/>
                <w:color w:val="000000" w:themeColor="text1"/>
              </w:rPr>
            </w:pPr>
            <w:r>
              <w:rPr>
                <w:rFonts w:ascii="Verdana" w:hAnsi="Verdana" w:cs="Arial"/>
                <w:color w:val="000000" w:themeColor="text1"/>
              </w:rPr>
              <w:t>10</w:t>
            </w:r>
          </w:p>
        </w:tc>
      </w:tr>
      <w:tr w:rsidR="00D40C1E" w:rsidRPr="00B96713" w14:paraId="0238B460" w14:textId="77777777" w:rsidTr="00F54062">
        <w:tc>
          <w:tcPr>
            <w:tcW w:w="2405" w:type="dxa"/>
          </w:tcPr>
          <w:p w14:paraId="59F21245" w14:textId="0704D523" w:rsidR="00D40C1E" w:rsidRPr="00D40C1E" w:rsidRDefault="0090173F" w:rsidP="007C7613">
            <w:pPr>
              <w:rPr>
                <w:rFonts w:ascii="Verdana" w:hAnsi="Verdana" w:cs="Arial"/>
                <w:color w:val="000000" w:themeColor="text1"/>
              </w:rPr>
            </w:pPr>
            <w:r>
              <w:rPr>
                <w:rFonts w:ascii="Verdana" w:hAnsi="Verdana" w:cs="Arial"/>
                <w:color w:val="000000" w:themeColor="text1"/>
              </w:rPr>
              <w:t>8</w:t>
            </w:r>
          </w:p>
        </w:tc>
        <w:tc>
          <w:tcPr>
            <w:tcW w:w="5326" w:type="dxa"/>
          </w:tcPr>
          <w:p w14:paraId="36B3D2A9" w14:textId="3A678DB4" w:rsidR="00D40C1E" w:rsidRPr="00D40C1E" w:rsidRDefault="00DE2D7F" w:rsidP="007C7613">
            <w:pPr>
              <w:rPr>
                <w:rFonts w:ascii="Verdana" w:hAnsi="Verdana" w:cs="Arial"/>
                <w:color w:val="000000" w:themeColor="text1"/>
              </w:rPr>
            </w:pPr>
            <w:r>
              <w:rPr>
                <w:rFonts w:ascii="Verdana" w:hAnsi="Verdana" w:cs="Arial"/>
                <w:color w:val="000000" w:themeColor="text1"/>
              </w:rPr>
              <w:t>Panel Meetings</w:t>
            </w:r>
          </w:p>
        </w:tc>
        <w:tc>
          <w:tcPr>
            <w:tcW w:w="1619" w:type="dxa"/>
          </w:tcPr>
          <w:p w14:paraId="2BA55EF5" w14:textId="4C5FD9BA" w:rsidR="00D40C1E" w:rsidRPr="00D40C1E" w:rsidRDefault="00D40C1E" w:rsidP="00D95266">
            <w:pPr>
              <w:jc w:val="right"/>
              <w:rPr>
                <w:rFonts w:ascii="Verdana" w:hAnsi="Verdana" w:cs="Arial"/>
                <w:color w:val="000000" w:themeColor="text1"/>
              </w:rPr>
            </w:pPr>
            <w:r>
              <w:rPr>
                <w:rFonts w:ascii="Verdana" w:hAnsi="Verdana" w:cs="Arial"/>
                <w:color w:val="000000" w:themeColor="text1"/>
              </w:rPr>
              <w:t>11</w:t>
            </w:r>
          </w:p>
        </w:tc>
      </w:tr>
      <w:tr w:rsidR="00D40C1E" w:rsidRPr="00B96713" w14:paraId="52E0D0F1" w14:textId="77777777" w:rsidTr="00F54062">
        <w:tc>
          <w:tcPr>
            <w:tcW w:w="2405" w:type="dxa"/>
          </w:tcPr>
          <w:p w14:paraId="71E93229" w14:textId="07A28974" w:rsidR="00D40C1E" w:rsidRPr="00D40C1E" w:rsidRDefault="0090173F" w:rsidP="007C7613">
            <w:pPr>
              <w:rPr>
                <w:rFonts w:ascii="Verdana" w:hAnsi="Verdana" w:cs="Arial"/>
                <w:color w:val="000000" w:themeColor="text1"/>
              </w:rPr>
            </w:pPr>
            <w:r>
              <w:rPr>
                <w:rFonts w:ascii="Verdana" w:hAnsi="Verdana" w:cs="Arial"/>
                <w:color w:val="000000" w:themeColor="text1"/>
              </w:rPr>
              <w:t>9 and 10</w:t>
            </w:r>
          </w:p>
        </w:tc>
        <w:tc>
          <w:tcPr>
            <w:tcW w:w="5326" w:type="dxa"/>
          </w:tcPr>
          <w:p w14:paraId="1A36377F" w14:textId="72E28BAD" w:rsidR="00D40C1E" w:rsidRPr="00D40C1E" w:rsidRDefault="00DE2D7F" w:rsidP="007C7613">
            <w:pPr>
              <w:rPr>
                <w:rFonts w:ascii="Verdana" w:hAnsi="Verdana" w:cs="Arial"/>
                <w:color w:val="000000" w:themeColor="text1"/>
              </w:rPr>
            </w:pPr>
            <w:r>
              <w:rPr>
                <w:rFonts w:ascii="Verdana" w:hAnsi="Verdana" w:cs="Arial"/>
                <w:color w:val="000000" w:themeColor="text1"/>
              </w:rPr>
              <w:t>Decisions</w:t>
            </w:r>
          </w:p>
        </w:tc>
        <w:tc>
          <w:tcPr>
            <w:tcW w:w="1619" w:type="dxa"/>
          </w:tcPr>
          <w:p w14:paraId="2CFBCC7E" w14:textId="28D68129" w:rsidR="00D40C1E" w:rsidRPr="00D40C1E" w:rsidRDefault="00D40C1E" w:rsidP="00D95266">
            <w:pPr>
              <w:jc w:val="right"/>
              <w:rPr>
                <w:rFonts w:ascii="Verdana" w:hAnsi="Verdana" w:cs="Arial"/>
                <w:color w:val="000000" w:themeColor="text1"/>
              </w:rPr>
            </w:pPr>
            <w:r>
              <w:rPr>
                <w:rFonts w:ascii="Verdana" w:hAnsi="Verdana" w:cs="Arial"/>
                <w:color w:val="000000" w:themeColor="text1"/>
              </w:rPr>
              <w:t>12</w:t>
            </w:r>
          </w:p>
        </w:tc>
      </w:tr>
      <w:tr w:rsidR="00D40C1E" w:rsidRPr="00B96713" w14:paraId="0B009BE6" w14:textId="77777777" w:rsidTr="00F54062">
        <w:tc>
          <w:tcPr>
            <w:tcW w:w="2405" w:type="dxa"/>
          </w:tcPr>
          <w:p w14:paraId="6CD9A108" w14:textId="41CDEEDD" w:rsidR="00D40C1E" w:rsidRPr="00D40C1E" w:rsidRDefault="00F54062" w:rsidP="007C7613">
            <w:pPr>
              <w:rPr>
                <w:rFonts w:ascii="Verdana" w:hAnsi="Verdana" w:cs="Arial"/>
                <w:color w:val="000000" w:themeColor="text1"/>
              </w:rPr>
            </w:pPr>
            <w:r>
              <w:rPr>
                <w:rFonts w:ascii="Verdana" w:hAnsi="Verdana" w:cs="Arial"/>
                <w:color w:val="000000" w:themeColor="text1"/>
              </w:rPr>
              <w:t>10</w:t>
            </w:r>
          </w:p>
        </w:tc>
        <w:tc>
          <w:tcPr>
            <w:tcW w:w="5326" w:type="dxa"/>
          </w:tcPr>
          <w:p w14:paraId="7403A90E" w14:textId="33836075" w:rsidR="00D40C1E" w:rsidRPr="00D40C1E" w:rsidRDefault="00D40C1E" w:rsidP="007C7613">
            <w:pPr>
              <w:rPr>
                <w:rFonts w:ascii="Verdana" w:hAnsi="Verdana" w:cs="Arial"/>
                <w:color w:val="000000" w:themeColor="text1"/>
              </w:rPr>
            </w:pPr>
            <w:r>
              <w:rPr>
                <w:rFonts w:ascii="Verdana" w:hAnsi="Verdana" w:cs="Arial"/>
                <w:color w:val="000000" w:themeColor="text1"/>
              </w:rPr>
              <w:t>Appeals</w:t>
            </w:r>
          </w:p>
        </w:tc>
        <w:tc>
          <w:tcPr>
            <w:tcW w:w="1619" w:type="dxa"/>
          </w:tcPr>
          <w:p w14:paraId="4B796410" w14:textId="6AD101FD" w:rsidR="00D40C1E" w:rsidRPr="00D40C1E" w:rsidRDefault="00D40C1E" w:rsidP="00D95266">
            <w:pPr>
              <w:jc w:val="right"/>
              <w:rPr>
                <w:rFonts w:ascii="Verdana" w:hAnsi="Verdana" w:cs="Arial"/>
                <w:color w:val="000000" w:themeColor="text1"/>
              </w:rPr>
            </w:pPr>
            <w:r>
              <w:rPr>
                <w:rFonts w:ascii="Verdana" w:hAnsi="Verdana" w:cs="Arial"/>
                <w:color w:val="000000" w:themeColor="text1"/>
              </w:rPr>
              <w:t>13</w:t>
            </w:r>
          </w:p>
        </w:tc>
      </w:tr>
      <w:tr w:rsidR="00D40C1E" w:rsidRPr="00B96713" w14:paraId="300F8A8A" w14:textId="77777777" w:rsidTr="00F54062">
        <w:tc>
          <w:tcPr>
            <w:tcW w:w="2405" w:type="dxa"/>
          </w:tcPr>
          <w:p w14:paraId="20B195A1" w14:textId="10F52A94" w:rsidR="00D40C1E" w:rsidRPr="00D40C1E" w:rsidRDefault="00F54062" w:rsidP="007C7613">
            <w:pPr>
              <w:rPr>
                <w:rFonts w:ascii="Verdana" w:hAnsi="Verdana" w:cs="Arial"/>
                <w:color w:val="000000" w:themeColor="text1"/>
              </w:rPr>
            </w:pPr>
            <w:r>
              <w:rPr>
                <w:rFonts w:ascii="Verdana" w:hAnsi="Verdana" w:cs="Arial"/>
                <w:color w:val="000000" w:themeColor="text1"/>
              </w:rPr>
              <w:t>10</w:t>
            </w:r>
          </w:p>
        </w:tc>
        <w:tc>
          <w:tcPr>
            <w:tcW w:w="5326" w:type="dxa"/>
          </w:tcPr>
          <w:p w14:paraId="57C60A64" w14:textId="1D504F78" w:rsidR="00D40C1E" w:rsidRPr="00D40C1E" w:rsidRDefault="00D40C1E" w:rsidP="007C7613">
            <w:pPr>
              <w:rPr>
                <w:rFonts w:ascii="Verdana" w:hAnsi="Verdana" w:cs="Arial"/>
                <w:color w:val="000000" w:themeColor="text1"/>
              </w:rPr>
            </w:pPr>
            <w:r>
              <w:rPr>
                <w:rFonts w:ascii="Verdana" w:hAnsi="Verdana" w:cs="Arial"/>
                <w:color w:val="000000" w:themeColor="text1"/>
              </w:rPr>
              <w:t>Related Documents</w:t>
            </w:r>
          </w:p>
        </w:tc>
        <w:tc>
          <w:tcPr>
            <w:tcW w:w="1619" w:type="dxa"/>
          </w:tcPr>
          <w:p w14:paraId="6389946A" w14:textId="7650F336" w:rsidR="00D40C1E" w:rsidRPr="00D40C1E" w:rsidRDefault="00D40C1E" w:rsidP="00D95266">
            <w:pPr>
              <w:jc w:val="right"/>
              <w:rPr>
                <w:rFonts w:ascii="Verdana" w:hAnsi="Verdana" w:cs="Arial"/>
                <w:color w:val="000000" w:themeColor="text1"/>
              </w:rPr>
            </w:pPr>
            <w:r>
              <w:rPr>
                <w:rFonts w:ascii="Verdana" w:hAnsi="Verdana" w:cs="Arial"/>
                <w:color w:val="000000" w:themeColor="text1"/>
              </w:rPr>
              <w:t>14</w:t>
            </w:r>
          </w:p>
        </w:tc>
      </w:tr>
      <w:tr w:rsidR="00D40C1E" w:rsidRPr="00B96713" w14:paraId="61A5093F" w14:textId="77777777" w:rsidTr="00F54062">
        <w:tc>
          <w:tcPr>
            <w:tcW w:w="2405" w:type="dxa"/>
          </w:tcPr>
          <w:p w14:paraId="2EB2508B" w14:textId="30774102" w:rsidR="00D40C1E" w:rsidRPr="00D40C1E" w:rsidRDefault="00F54062" w:rsidP="007C7613">
            <w:pPr>
              <w:rPr>
                <w:rFonts w:ascii="Verdana" w:hAnsi="Verdana" w:cs="Arial"/>
                <w:color w:val="000000" w:themeColor="text1"/>
              </w:rPr>
            </w:pPr>
            <w:r>
              <w:rPr>
                <w:rFonts w:ascii="Verdana" w:hAnsi="Verdana" w:cs="Arial"/>
                <w:color w:val="000000" w:themeColor="text1"/>
              </w:rPr>
              <w:t>10 and 11</w:t>
            </w:r>
          </w:p>
        </w:tc>
        <w:tc>
          <w:tcPr>
            <w:tcW w:w="5326" w:type="dxa"/>
          </w:tcPr>
          <w:p w14:paraId="09C8AEAE" w14:textId="6E37709D" w:rsidR="00D40C1E" w:rsidRPr="00D40C1E" w:rsidRDefault="00D40C1E" w:rsidP="007C7613">
            <w:pPr>
              <w:rPr>
                <w:rFonts w:ascii="Verdana" w:hAnsi="Verdana" w:cs="Arial"/>
                <w:color w:val="000000" w:themeColor="text1"/>
              </w:rPr>
            </w:pPr>
            <w:r>
              <w:rPr>
                <w:rFonts w:ascii="Verdana" w:hAnsi="Verdana" w:cs="Arial"/>
                <w:color w:val="000000" w:themeColor="text1"/>
              </w:rPr>
              <w:t>References</w:t>
            </w:r>
          </w:p>
        </w:tc>
        <w:tc>
          <w:tcPr>
            <w:tcW w:w="1619" w:type="dxa"/>
          </w:tcPr>
          <w:p w14:paraId="72E1F5F1" w14:textId="06109440" w:rsidR="00D40C1E" w:rsidRPr="00D40C1E" w:rsidRDefault="00D40C1E" w:rsidP="00D95266">
            <w:pPr>
              <w:jc w:val="right"/>
              <w:rPr>
                <w:rFonts w:ascii="Verdana" w:hAnsi="Verdana" w:cs="Arial"/>
                <w:color w:val="000000" w:themeColor="text1"/>
              </w:rPr>
            </w:pPr>
            <w:r>
              <w:rPr>
                <w:rFonts w:ascii="Verdana" w:hAnsi="Verdana" w:cs="Arial"/>
                <w:color w:val="000000" w:themeColor="text1"/>
              </w:rPr>
              <w:t>15</w:t>
            </w:r>
          </w:p>
        </w:tc>
      </w:tr>
      <w:tr w:rsidR="00D40C1E" w:rsidRPr="00B96713" w14:paraId="65791F66" w14:textId="77777777" w:rsidTr="00F54062">
        <w:tc>
          <w:tcPr>
            <w:tcW w:w="2405" w:type="dxa"/>
          </w:tcPr>
          <w:p w14:paraId="29D09E70" w14:textId="18558063" w:rsidR="00D40C1E" w:rsidRPr="00D40C1E" w:rsidRDefault="00F54062" w:rsidP="007C7613">
            <w:pPr>
              <w:rPr>
                <w:rFonts w:ascii="Verdana" w:hAnsi="Verdana" w:cs="Arial"/>
                <w:color w:val="000000" w:themeColor="text1"/>
              </w:rPr>
            </w:pPr>
            <w:r>
              <w:rPr>
                <w:rFonts w:ascii="Verdana" w:hAnsi="Verdana" w:cs="Arial"/>
                <w:color w:val="000000" w:themeColor="text1"/>
              </w:rPr>
              <w:t xml:space="preserve">11 </w:t>
            </w:r>
          </w:p>
        </w:tc>
        <w:tc>
          <w:tcPr>
            <w:tcW w:w="5326" w:type="dxa"/>
          </w:tcPr>
          <w:p w14:paraId="435B077A" w14:textId="0FC7C251" w:rsidR="00D40C1E" w:rsidRPr="00D40C1E" w:rsidRDefault="00D40C1E" w:rsidP="007C7613">
            <w:pPr>
              <w:rPr>
                <w:rFonts w:ascii="Verdana" w:hAnsi="Verdana" w:cs="Arial"/>
                <w:color w:val="000000" w:themeColor="text1"/>
              </w:rPr>
            </w:pPr>
            <w:r>
              <w:rPr>
                <w:rFonts w:ascii="Verdana" w:hAnsi="Verdana" w:cs="Arial"/>
                <w:color w:val="000000" w:themeColor="text1"/>
              </w:rPr>
              <w:t>Review Date</w:t>
            </w:r>
          </w:p>
        </w:tc>
        <w:tc>
          <w:tcPr>
            <w:tcW w:w="1619" w:type="dxa"/>
          </w:tcPr>
          <w:p w14:paraId="163AB687" w14:textId="2EF2D6D2" w:rsidR="00D40C1E" w:rsidRPr="00D40C1E" w:rsidRDefault="00D40C1E" w:rsidP="00D95266">
            <w:pPr>
              <w:jc w:val="right"/>
              <w:rPr>
                <w:rFonts w:ascii="Verdana" w:hAnsi="Verdana" w:cs="Arial"/>
                <w:color w:val="000000" w:themeColor="text1"/>
              </w:rPr>
            </w:pPr>
            <w:r>
              <w:rPr>
                <w:rFonts w:ascii="Verdana" w:hAnsi="Verdana" w:cs="Arial"/>
                <w:color w:val="000000" w:themeColor="text1"/>
              </w:rPr>
              <w:t>16</w:t>
            </w:r>
          </w:p>
        </w:tc>
      </w:tr>
    </w:tbl>
    <w:p w14:paraId="243E023F" w14:textId="77777777" w:rsidR="007C7613" w:rsidRDefault="007C7613" w:rsidP="007C7613">
      <w:pPr>
        <w:rPr>
          <w:rFonts w:ascii="Arial" w:hAnsi="Arial" w:cs="Arial"/>
          <w:sz w:val="24"/>
          <w:szCs w:val="24"/>
        </w:rPr>
      </w:pPr>
    </w:p>
    <w:p w14:paraId="79E8DE6F" w14:textId="77777777" w:rsidR="00EB3547" w:rsidRDefault="00EB3547">
      <w:pPr>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8554"/>
      </w:tblGrid>
      <w:tr w:rsidR="00726243" w14:paraId="1866B87A" w14:textId="77777777" w:rsidTr="00DA5066">
        <w:tc>
          <w:tcPr>
            <w:tcW w:w="796" w:type="dxa"/>
          </w:tcPr>
          <w:p w14:paraId="3926B3A8" w14:textId="0411756C" w:rsidR="00726243" w:rsidRPr="00726243" w:rsidRDefault="00726243" w:rsidP="00161564">
            <w:pPr>
              <w:rPr>
                <w:rFonts w:ascii="Verdana" w:hAnsi="Verdana" w:cs="Arial"/>
                <w:b/>
                <w:bCs/>
                <w:color w:val="385623" w:themeColor="accent6" w:themeShade="80"/>
                <w:sz w:val="24"/>
                <w:szCs w:val="24"/>
              </w:rPr>
            </w:pPr>
            <w:r w:rsidRPr="00726243">
              <w:rPr>
                <w:rFonts w:ascii="Verdana" w:hAnsi="Verdana" w:cs="Arial"/>
                <w:b/>
                <w:bCs/>
                <w:color w:val="385623" w:themeColor="accent6" w:themeShade="80"/>
                <w:sz w:val="24"/>
                <w:szCs w:val="24"/>
              </w:rPr>
              <w:lastRenderedPageBreak/>
              <w:t>1.</w:t>
            </w:r>
          </w:p>
        </w:tc>
        <w:tc>
          <w:tcPr>
            <w:tcW w:w="8554" w:type="dxa"/>
          </w:tcPr>
          <w:p w14:paraId="1CC6F9B8" w14:textId="42D7B5A3" w:rsidR="00726243" w:rsidRPr="00C93FF0" w:rsidRDefault="00726243"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Introduction</w:t>
            </w:r>
          </w:p>
        </w:tc>
      </w:tr>
      <w:tr w:rsidR="00726243" w14:paraId="54D4C558" w14:textId="77777777" w:rsidTr="00DA5066">
        <w:tc>
          <w:tcPr>
            <w:tcW w:w="796" w:type="dxa"/>
          </w:tcPr>
          <w:p w14:paraId="0F1205E5" w14:textId="62B18CE3" w:rsidR="00726243" w:rsidRPr="001145B9" w:rsidRDefault="00726243" w:rsidP="00161564">
            <w:pPr>
              <w:rPr>
                <w:rFonts w:ascii="Verdana" w:hAnsi="Verdana" w:cs="Arial"/>
              </w:rPr>
            </w:pPr>
            <w:r w:rsidRPr="001145B9">
              <w:rPr>
                <w:rFonts w:ascii="Verdana" w:hAnsi="Verdana" w:cs="Arial"/>
              </w:rPr>
              <w:t>1.1</w:t>
            </w:r>
          </w:p>
        </w:tc>
        <w:tc>
          <w:tcPr>
            <w:tcW w:w="8554" w:type="dxa"/>
          </w:tcPr>
          <w:p w14:paraId="4E62334A" w14:textId="77777777" w:rsidR="00BF220C" w:rsidRPr="001145B9" w:rsidRDefault="00BF220C" w:rsidP="00BF220C">
            <w:pPr>
              <w:rPr>
                <w:rFonts w:ascii="Verdana" w:hAnsi="Verdana" w:cs="Arial"/>
              </w:rPr>
            </w:pPr>
            <w:r w:rsidRPr="001145B9">
              <w:rPr>
                <w:rFonts w:ascii="Verdana" w:hAnsi="Verdana" w:cs="Arial"/>
              </w:rPr>
              <w:t>Nuneaton and Bedworth Borough Council is a Local Authority with approximately 5,600 properties across the Borough.</w:t>
            </w:r>
          </w:p>
          <w:p w14:paraId="4178DD76" w14:textId="121A33CE" w:rsidR="00C93FF0" w:rsidRPr="001145B9" w:rsidRDefault="00C93FF0" w:rsidP="00C93FF0">
            <w:pPr>
              <w:tabs>
                <w:tab w:val="left" w:pos="1668"/>
              </w:tabs>
              <w:rPr>
                <w:rFonts w:ascii="Verdana" w:hAnsi="Verdana" w:cs="Arial"/>
              </w:rPr>
            </w:pPr>
          </w:p>
        </w:tc>
      </w:tr>
      <w:tr w:rsidR="00C93FF0" w14:paraId="19E7B8CC" w14:textId="77777777" w:rsidTr="00DA5066">
        <w:tc>
          <w:tcPr>
            <w:tcW w:w="796" w:type="dxa"/>
          </w:tcPr>
          <w:p w14:paraId="75CD1E13" w14:textId="5AC7ADFE" w:rsidR="00C93FF0" w:rsidRPr="001145B9" w:rsidRDefault="00C93FF0" w:rsidP="00161564">
            <w:pPr>
              <w:rPr>
                <w:rFonts w:ascii="Verdana" w:hAnsi="Verdana" w:cs="Arial"/>
              </w:rPr>
            </w:pPr>
            <w:r w:rsidRPr="001145B9">
              <w:rPr>
                <w:rFonts w:ascii="Verdana" w:hAnsi="Verdana" w:cs="Arial"/>
              </w:rPr>
              <w:t>1.2.</w:t>
            </w:r>
          </w:p>
        </w:tc>
        <w:tc>
          <w:tcPr>
            <w:tcW w:w="8554" w:type="dxa"/>
          </w:tcPr>
          <w:p w14:paraId="6D22ABAE" w14:textId="77777777" w:rsidR="004A565D" w:rsidRPr="001145B9" w:rsidRDefault="004A565D" w:rsidP="004A565D">
            <w:pPr>
              <w:rPr>
                <w:rFonts w:ascii="Verdana" w:hAnsi="Verdana" w:cs="Arial"/>
              </w:rPr>
            </w:pPr>
            <w:r w:rsidRPr="001145B9">
              <w:rPr>
                <w:rFonts w:ascii="Verdana" w:hAnsi="Verdana" w:cs="Arial"/>
              </w:rPr>
              <w:t xml:space="preserve">Our tenants are offered a variety of tenancies during their first 12-months (unless the allocation was a transfer from another social housing tenancy) in-line with the Tenancy Policy and they will become a secure tenant after this time. </w:t>
            </w:r>
          </w:p>
          <w:p w14:paraId="5907C399" w14:textId="56D0935B" w:rsidR="00C93FF0" w:rsidRPr="001145B9" w:rsidRDefault="00C93FF0" w:rsidP="00BF220C">
            <w:pPr>
              <w:tabs>
                <w:tab w:val="left" w:pos="1668"/>
              </w:tabs>
              <w:rPr>
                <w:rFonts w:ascii="Verdana" w:hAnsi="Verdana" w:cs="Arial"/>
              </w:rPr>
            </w:pPr>
          </w:p>
        </w:tc>
      </w:tr>
      <w:tr w:rsidR="00C93FF0" w14:paraId="1724EE22" w14:textId="77777777" w:rsidTr="00DA5066">
        <w:tc>
          <w:tcPr>
            <w:tcW w:w="796" w:type="dxa"/>
          </w:tcPr>
          <w:p w14:paraId="7769FB15" w14:textId="1E60DEF0" w:rsidR="00C93FF0" w:rsidRPr="001145B9" w:rsidRDefault="00C93FF0" w:rsidP="00161564">
            <w:pPr>
              <w:rPr>
                <w:rFonts w:ascii="Verdana" w:hAnsi="Verdana" w:cs="Arial"/>
              </w:rPr>
            </w:pPr>
            <w:r w:rsidRPr="001145B9">
              <w:rPr>
                <w:rFonts w:ascii="Verdana" w:hAnsi="Verdana" w:cs="Arial"/>
              </w:rPr>
              <w:t>1.3.</w:t>
            </w:r>
          </w:p>
        </w:tc>
        <w:tc>
          <w:tcPr>
            <w:tcW w:w="8554" w:type="dxa"/>
          </w:tcPr>
          <w:p w14:paraId="0427A2DE" w14:textId="77777777" w:rsidR="001145B9" w:rsidRPr="001145B9" w:rsidRDefault="001145B9" w:rsidP="001145B9">
            <w:pPr>
              <w:rPr>
                <w:rFonts w:ascii="Verdana" w:hAnsi="Verdana" w:cs="Arial"/>
              </w:rPr>
            </w:pPr>
            <w:r w:rsidRPr="001145B9">
              <w:rPr>
                <w:rFonts w:ascii="Verdana" w:hAnsi="Verdana" w:cs="Arial"/>
              </w:rPr>
              <w:t xml:space="preserve">The Local Authority has a high demand for social housing in the borough; and therefore, all options for assisting our tenants remain in their current accommodation should be exhausted before considering an application for a Management Move – this includes a mutual exchange, additional safety measures etc. </w:t>
            </w:r>
          </w:p>
          <w:p w14:paraId="37D23AC2" w14:textId="2286D399" w:rsidR="00C93FF0" w:rsidRPr="001145B9" w:rsidRDefault="00C93FF0" w:rsidP="00BF220C">
            <w:pPr>
              <w:tabs>
                <w:tab w:val="left" w:pos="1668"/>
              </w:tabs>
              <w:rPr>
                <w:rFonts w:ascii="Verdana" w:hAnsi="Verdana" w:cs="Arial"/>
              </w:rPr>
            </w:pPr>
          </w:p>
        </w:tc>
      </w:tr>
      <w:tr w:rsidR="00726243" w14:paraId="22B367F6" w14:textId="77777777" w:rsidTr="00DA5066">
        <w:tc>
          <w:tcPr>
            <w:tcW w:w="796" w:type="dxa"/>
          </w:tcPr>
          <w:p w14:paraId="1EE02A37" w14:textId="064A0F61" w:rsidR="00726243" w:rsidRPr="00C93FF0" w:rsidRDefault="00912140"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2.</w:t>
            </w:r>
          </w:p>
        </w:tc>
        <w:tc>
          <w:tcPr>
            <w:tcW w:w="8554" w:type="dxa"/>
          </w:tcPr>
          <w:p w14:paraId="18C04212" w14:textId="4D45722E" w:rsidR="00726243" w:rsidRPr="00C93FF0" w:rsidRDefault="00912140"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Policy Statement</w:t>
            </w:r>
          </w:p>
        </w:tc>
      </w:tr>
      <w:tr w:rsidR="00912140" w14:paraId="643B07FD" w14:textId="77777777" w:rsidTr="00DA5066">
        <w:tc>
          <w:tcPr>
            <w:tcW w:w="796" w:type="dxa"/>
          </w:tcPr>
          <w:p w14:paraId="06D1E2B9" w14:textId="692ED63A" w:rsidR="00912140" w:rsidRPr="0039188B" w:rsidRDefault="0039188B" w:rsidP="00161564">
            <w:pPr>
              <w:rPr>
                <w:rFonts w:ascii="Verdana" w:hAnsi="Verdana" w:cs="Arial"/>
              </w:rPr>
            </w:pPr>
            <w:r w:rsidRPr="0039188B">
              <w:rPr>
                <w:rFonts w:ascii="Verdana" w:hAnsi="Verdana" w:cs="Arial"/>
              </w:rPr>
              <w:t>2.1.</w:t>
            </w:r>
          </w:p>
        </w:tc>
        <w:tc>
          <w:tcPr>
            <w:tcW w:w="8554" w:type="dxa"/>
          </w:tcPr>
          <w:p w14:paraId="1F83B32E" w14:textId="77777777" w:rsidR="00853620" w:rsidRPr="00F36B06" w:rsidRDefault="00853620" w:rsidP="00853620">
            <w:pPr>
              <w:rPr>
                <w:rFonts w:ascii="Verdana" w:hAnsi="Verdana" w:cs="Arial"/>
              </w:rPr>
            </w:pPr>
            <w:r w:rsidRPr="00F36B06">
              <w:rPr>
                <w:rFonts w:ascii="Verdana" w:hAnsi="Verdana" w:cs="Arial"/>
              </w:rPr>
              <w:t>When letting the Council’s properties, we have a duty to house those in greatest need of housing. The Council recognises that there will be exceptional situations where existing tenants may require urgent re-housing in specific circumstances. Agreeing to a management move is exceptional, as the decision overrides the Choice Based Lettings process and as a result delays the rehousing of other applicants on the transfer list and housing register who may also have high needs.</w:t>
            </w:r>
          </w:p>
          <w:p w14:paraId="3CF37E24" w14:textId="77777777" w:rsidR="00912140" w:rsidRPr="00F36B06" w:rsidRDefault="00912140" w:rsidP="00161564">
            <w:pPr>
              <w:rPr>
                <w:rFonts w:ascii="Verdana" w:hAnsi="Verdana" w:cs="Arial"/>
                <w:b/>
                <w:bCs/>
                <w:sz w:val="24"/>
                <w:szCs w:val="24"/>
              </w:rPr>
            </w:pPr>
          </w:p>
        </w:tc>
      </w:tr>
      <w:tr w:rsidR="00912140" w14:paraId="321220A2" w14:textId="77777777" w:rsidTr="00DA5066">
        <w:tc>
          <w:tcPr>
            <w:tcW w:w="796" w:type="dxa"/>
          </w:tcPr>
          <w:p w14:paraId="45693C28" w14:textId="397D9184" w:rsidR="00912140" w:rsidRPr="0039188B" w:rsidRDefault="0039188B" w:rsidP="00161564">
            <w:pPr>
              <w:rPr>
                <w:rFonts w:ascii="Verdana" w:hAnsi="Verdana" w:cs="Arial"/>
              </w:rPr>
            </w:pPr>
            <w:r w:rsidRPr="0039188B">
              <w:rPr>
                <w:rFonts w:ascii="Verdana" w:hAnsi="Verdana" w:cs="Arial"/>
              </w:rPr>
              <w:t>2.2.</w:t>
            </w:r>
          </w:p>
        </w:tc>
        <w:tc>
          <w:tcPr>
            <w:tcW w:w="8554" w:type="dxa"/>
          </w:tcPr>
          <w:p w14:paraId="2493751B" w14:textId="77777777" w:rsidR="004859FB" w:rsidRPr="00F36B06" w:rsidRDefault="004859FB" w:rsidP="004859FB">
            <w:pPr>
              <w:rPr>
                <w:rFonts w:ascii="Verdana" w:hAnsi="Verdana" w:cs="Arial"/>
              </w:rPr>
            </w:pPr>
            <w:r w:rsidRPr="00F36B06">
              <w:rPr>
                <w:rFonts w:ascii="Verdana" w:hAnsi="Verdana" w:cs="Arial"/>
              </w:rPr>
              <w:t>The circumstances of the tenant will need to be extremely serious to justify a management move. The Council will consider every case on its individual merits, and ensure the approach is reasonable and effectively controlled and monitored.</w:t>
            </w:r>
          </w:p>
          <w:p w14:paraId="7135A544" w14:textId="77777777" w:rsidR="00912140" w:rsidRPr="00F36B06" w:rsidRDefault="00912140" w:rsidP="00161564">
            <w:pPr>
              <w:rPr>
                <w:rFonts w:ascii="Verdana" w:hAnsi="Verdana" w:cs="Arial"/>
                <w:b/>
                <w:bCs/>
                <w:sz w:val="24"/>
                <w:szCs w:val="24"/>
              </w:rPr>
            </w:pPr>
          </w:p>
        </w:tc>
      </w:tr>
      <w:tr w:rsidR="0039188B" w14:paraId="2C5DEEC9" w14:textId="77777777" w:rsidTr="00DA5066">
        <w:tc>
          <w:tcPr>
            <w:tcW w:w="796" w:type="dxa"/>
          </w:tcPr>
          <w:p w14:paraId="2E5CBE36" w14:textId="1E604301" w:rsidR="0039188B" w:rsidRPr="0039188B" w:rsidRDefault="0039188B" w:rsidP="00161564">
            <w:pPr>
              <w:rPr>
                <w:rFonts w:ascii="Verdana" w:hAnsi="Verdana" w:cs="Arial"/>
              </w:rPr>
            </w:pPr>
            <w:r w:rsidRPr="0039188B">
              <w:rPr>
                <w:rFonts w:ascii="Verdana" w:hAnsi="Verdana" w:cs="Arial"/>
              </w:rPr>
              <w:t>2.3.</w:t>
            </w:r>
          </w:p>
        </w:tc>
        <w:tc>
          <w:tcPr>
            <w:tcW w:w="8554" w:type="dxa"/>
          </w:tcPr>
          <w:p w14:paraId="0A716256" w14:textId="77777777" w:rsidR="00F36B06" w:rsidRPr="00F36B06" w:rsidRDefault="00F36B06" w:rsidP="00F36B06">
            <w:pPr>
              <w:rPr>
                <w:rFonts w:ascii="Verdana" w:hAnsi="Verdana" w:cs="Arial"/>
              </w:rPr>
            </w:pPr>
            <w:r w:rsidRPr="00F36B06">
              <w:rPr>
                <w:rFonts w:ascii="Verdana" w:hAnsi="Verdana" w:cs="Arial"/>
              </w:rPr>
              <w:t>The Council recognises that moving is difficult and will offer alternative remedies to allow tenants and their permanent household members to remain in their homes, safely and promptly. However, we understand there are occasions where this is not possible, and an urgent move is the only way to alleviate a problem.</w:t>
            </w:r>
          </w:p>
          <w:p w14:paraId="36F9E89F" w14:textId="77777777" w:rsidR="0039188B" w:rsidRPr="00F36B06" w:rsidRDefault="0039188B" w:rsidP="00161564">
            <w:pPr>
              <w:rPr>
                <w:rFonts w:ascii="Verdana" w:hAnsi="Verdana" w:cs="Arial"/>
                <w:b/>
                <w:bCs/>
                <w:sz w:val="24"/>
                <w:szCs w:val="24"/>
              </w:rPr>
            </w:pPr>
          </w:p>
        </w:tc>
      </w:tr>
      <w:tr w:rsidR="00F36B06" w14:paraId="1853DFE2" w14:textId="77777777" w:rsidTr="00DA5066">
        <w:tc>
          <w:tcPr>
            <w:tcW w:w="796" w:type="dxa"/>
          </w:tcPr>
          <w:p w14:paraId="4DCCD55A" w14:textId="4A89A984" w:rsidR="00F36B06" w:rsidRPr="00C93FF0" w:rsidRDefault="00F36B06"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3.</w:t>
            </w:r>
          </w:p>
        </w:tc>
        <w:tc>
          <w:tcPr>
            <w:tcW w:w="8554" w:type="dxa"/>
          </w:tcPr>
          <w:p w14:paraId="4621C373" w14:textId="76FB94A9" w:rsidR="00F36B06" w:rsidRPr="00C93FF0" w:rsidRDefault="00F36B06"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Legislation</w:t>
            </w:r>
          </w:p>
        </w:tc>
      </w:tr>
      <w:tr w:rsidR="00F36B06" w14:paraId="380BB1A1" w14:textId="77777777" w:rsidTr="00DA5066">
        <w:tc>
          <w:tcPr>
            <w:tcW w:w="796" w:type="dxa"/>
          </w:tcPr>
          <w:p w14:paraId="0237D570" w14:textId="594BDEAB" w:rsidR="00F36B06" w:rsidRPr="00315D82" w:rsidRDefault="00315D82" w:rsidP="00161564">
            <w:pPr>
              <w:rPr>
                <w:rFonts w:ascii="Verdana" w:hAnsi="Verdana" w:cs="Arial"/>
                <w:color w:val="385623" w:themeColor="accent6" w:themeShade="80"/>
                <w:sz w:val="24"/>
                <w:szCs w:val="24"/>
              </w:rPr>
            </w:pPr>
            <w:r w:rsidRPr="00315D82">
              <w:rPr>
                <w:rFonts w:ascii="Verdana" w:hAnsi="Verdana" w:cs="Arial"/>
              </w:rPr>
              <w:t>3.1.</w:t>
            </w:r>
          </w:p>
        </w:tc>
        <w:tc>
          <w:tcPr>
            <w:tcW w:w="8554" w:type="dxa"/>
          </w:tcPr>
          <w:p w14:paraId="0AF0A26C" w14:textId="77777777" w:rsidR="00315D82" w:rsidRPr="00315D82" w:rsidRDefault="00315D82" w:rsidP="00315D82">
            <w:pPr>
              <w:rPr>
                <w:rFonts w:ascii="Verdana" w:hAnsi="Verdana" w:cs="Arial"/>
              </w:rPr>
            </w:pPr>
            <w:r w:rsidRPr="00315D82">
              <w:rPr>
                <w:rFonts w:ascii="Verdana" w:hAnsi="Verdana" w:cs="Arial"/>
              </w:rPr>
              <w:t>Management Move are exempt from the rules under Part 6 of the Housing Act 1996 as this is treated as a transfer that is initiated by the ‘landlord’.</w:t>
            </w:r>
          </w:p>
          <w:p w14:paraId="3303E8EE" w14:textId="77777777" w:rsidR="00F36B06" w:rsidRPr="00C93FF0" w:rsidRDefault="00F36B06" w:rsidP="00161564">
            <w:pPr>
              <w:rPr>
                <w:rFonts w:ascii="Verdana" w:hAnsi="Verdana" w:cs="Arial"/>
                <w:b/>
                <w:bCs/>
                <w:color w:val="385623" w:themeColor="accent6" w:themeShade="80"/>
                <w:sz w:val="24"/>
                <w:szCs w:val="24"/>
              </w:rPr>
            </w:pPr>
          </w:p>
        </w:tc>
      </w:tr>
      <w:tr w:rsidR="00912140" w14:paraId="1AB6CDBB" w14:textId="77777777" w:rsidTr="00DA5066">
        <w:tc>
          <w:tcPr>
            <w:tcW w:w="796" w:type="dxa"/>
          </w:tcPr>
          <w:p w14:paraId="0015C482" w14:textId="37F8D099" w:rsidR="00912140" w:rsidRPr="00C93FF0" w:rsidRDefault="0023334D"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4.</w:t>
            </w:r>
          </w:p>
        </w:tc>
        <w:tc>
          <w:tcPr>
            <w:tcW w:w="8554" w:type="dxa"/>
          </w:tcPr>
          <w:p w14:paraId="5E205DAE" w14:textId="2A49E7A3" w:rsidR="00912140" w:rsidRPr="00C93FF0" w:rsidRDefault="00912140"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Purpose</w:t>
            </w:r>
          </w:p>
        </w:tc>
      </w:tr>
      <w:tr w:rsidR="00CD7201" w14:paraId="4A58467C" w14:textId="77777777" w:rsidTr="00DA5066">
        <w:tc>
          <w:tcPr>
            <w:tcW w:w="796" w:type="dxa"/>
          </w:tcPr>
          <w:p w14:paraId="65D1A71B" w14:textId="1A805CAF" w:rsidR="00CD7201" w:rsidRPr="00A75ED2" w:rsidRDefault="0023334D" w:rsidP="00161564">
            <w:pPr>
              <w:rPr>
                <w:rFonts w:ascii="Verdana" w:hAnsi="Verdana" w:cs="Arial"/>
              </w:rPr>
            </w:pPr>
            <w:r>
              <w:rPr>
                <w:rFonts w:ascii="Verdana" w:hAnsi="Verdana" w:cs="Arial"/>
              </w:rPr>
              <w:t>4</w:t>
            </w:r>
            <w:r w:rsidR="00CD7201" w:rsidRPr="00A75ED2">
              <w:rPr>
                <w:rFonts w:ascii="Verdana" w:hAnsi="Verdana" w:cs="Arial"/>
              </w:rPr>
              <w:t>.1</w:t>
            </w:r>
          </w:p>
        </w:tc>
        <w:tc>
          <w:tcPr>
            <w:tcW w:w="8554" w:type="dxa"/>
          </w:tcPr>
          <w:p w14:paraId="2A11BEDC" w14:textId="77777777" w:rsidR="003A3722" w:rsidRPr="008F6BBD" w:rsidRDefault="003A3722" w:rsidP="003A3722">
            <w:pPr>
              <w:rPr>
                <w:rFonts w:ascii="Verdana" w:hAnsi="Verdana" w:cs="Arial"/>
              </w:rPr>
            </w:pPr>
            <w:r w:rsidRPr="008F6BBD">
              <w:rPr>
                <w:rFonts w:ascii="Verdana" w:hAnsi="Verdana" w:cs="Arial"/>
              </w:rPr>
              <w:t>This policy sets out the Council’s approach to managing emergency situations where tenants are unable to remain living in their homes and require urgent permanent re-housing in specific circumstances.</w:t>
            </w:r>
          </w:p>
          <w:p w14:paraId="3704B31E" w14:textId="7E727E17" w:rsidR="00A75ED2" w:rsidRPr="008F6BBD" w:rsidRDefault="00A75ED2" w:rsidP="003A3722">
            <w:pPr>
              <w:rPr>
                <w:rFonts w:ascii="Verdana" w:hAnsi="Verdana" w:cs="Arial"/>
              </w:rPr>
            </w:pPr>
          </w:p>
        </w:tc>
      </w:tr>
      <w:tr w:rsidR="003A3722" w14:paraId="5557C48B" w14:textId="77777777" w:rsidTr="00DA5066">
        <w:tc>
          <w:tcPr>
            <w:tcW w:w="796" w:type="dxa"/>
          </w:tcPr>
          <w:p w14:paraId="727D5497" w14:textId="30B4B46C" w:rsidR="003A3722" w:rsidRDefault="003A3722" w:rsidP="00161564">
            <w:pPr>
              <w:rPr>
                <w:rFonts w:ascii="Verdana" w:hAnsi="Verdana" w:cs="Arial"/>
              </w:rPr>
            </w:pPr>
            <w:r>
              <w:rPr>
                <w:rFonts w:ascii="Verdana" w:hAnsi="Verdana" w:cs="Arial"/>
              </w:rPr>
              <w:t>4.2.</w:t>
            </w:r>
          </w:p>
        </w:tc>
        <w:tc>
          <w:tcPr>
            <w:tcW w:w="8554" w:type="dxa"/>
          </w:tcPr>
          <w:p w14:paraId="37B43832" w14:textId="1F5B1BE5" w:rsidR="003A3722" w:rsidRPr="008F6BBD" w:rsidRDefault="008F6BBD" w:rsidP="003A3722">
            <w:pPr>
              <w:rPr>
                <w:rFonts w:ascii="Verdana" w:hAnsi="Verdana" w:cs="Arial"/>
              </w:rPr>
            </w:pPr>
            <w:r w:rsidRPr="008F6BBD">
              <w:rPr>
                <w:rFonts w:ascii="Verdana" w:hAnsi="Verdana" w:cs="Arial"/>
              </w:rPr>
              <w:t xml:space="preserve">The purpose of this policy is to ensure that Nuneaton and Bedworth Borough Council have a consistent; fair; and transparent approach in the </w:t>
            </w:r>
            <w:r w:rsidRPr="008F6BBD">
              <w:rPr>
                <w:rFonts w:ascii="Verdana" w:hAnsi="Verdana" w:cs="Arial"/>
              </w:rPr>
              <w:lastRenderedPageBreak/>
              <w:t xml:space="preserve">way it deals with requests from tenants to urgently transfer to alternative accommodation in exceptional circumstances. </w:t>
            </w:r>
          </w:p>
          <w:p w14:paraId="4D231134" w14:textId="77777777" w:rsidR="003A3722" w:rsidRPr="008F6BBD" w:rsidRDefault="003A3722" w:rsidP="003A3722">
            <w:pPr>
              <w:rPr>
                <w:rFonts w:ascii="Verdana" w:hAnsi="Verdana" w:cs="Arial"/>
              </w:rPr>
            </w:pPr>
          </w:p>
        </w:tc>
      </w:tr>
      <w:tr w:rsidR="00726243" w14:paraId="78FE7CCA" w14:textId="77777777" w:rsidTr="00DA5066">
        <w:tc>
          <w:tcPr>
            <w:tcW w:w="796" w:type="dxa"/>
          </w:tcPr>
          <w:p w14:paraId="5796712C" w14:textId="34CDC17A" w:rsidR="00726243" w:rsidRPr="00C93FF0" w:rsidRDefault="008F6BBD"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lastRenderedPageBreak/>
              <w:t>5</w:t>
            </w:r>
            <w:r w:rsidR="00726243" w:rsidRPr="00C93FF0">
              <w:rPr>
                <w:rFonts w:ascii="Verdana" w:hAnsi="Verdana" w:cs="Arial"/>
                <w:b/>
                <w:bCs/>
                <w:color w:val="385623" w:themeColor="accent6" w:themeShade="80"/>
                <w:sz w:val="24"/>
                <w:szCs w:val="24"/>
              </w:rPr>
              <w:t>.</w:t>
            </w:r>
          </w:p>
        </w:tc>
        <w:tc>
          <w:tcPr>
            <w:tcW w:w="8554" w:type="dxa"/>
          </w:tcPr>
          <w:p w14:paraId="41807B14" w14:textId="7C7485B5" w:rsidR="00726243" w:rsidRPr="00C93FF0" w:rsidRDefault="00726243"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Scope</w:t>
            </w:r>
          </w:p>
        </w:tc>
      </w:tr>
      <w:tr w:rsidR="00CD7201" w14:paraId="558EF67E" w14:textId="77777777" w:rsidTr="00DA5066">
        <w:tc>
          <w:tcPr>
            <w:tcW w:w="796" w:type="dxa"/>
          </w:tcPr>
          <w:p w14:paraId="38E8EA65" w14:textId="6D41BE8D" w:rsidR="00CD7201" w:rsidRPr="003A37B6" w:rsidRDefault="008F6BBD" w:rsidP="00161564">
            <w:pPr>
              <w:rPr>
                <w:rFonts w:ascii="Verdana" w:hAnsi="Verdana" w:cs="Arial"/>
              </w:rPr>
            </w:pPr>
            <w:r>
              <w:rPr>
                <w:rFonts w:ascii="Verdana" w:hAnsi="Verdana" w:cs="Arial"/>
              </w:rPr>
              <w:t>5</w:t>
            </w:r>
            <w:r w:rsidR="00CD7201" w:rsidRPr="003A37B6">
              <w:rPr>
                <w:rFonts w:ascii="Verdana" w:hAnsi="Verdana" w:cs="Arial"/>
              </w:rPr>
              <w:t>.1</w:t>
            </w:r>
          </w:p>
        </w:tc>
        <w:tc>
          <w:tcPr>
            <w:tcW w:w="8554" w:type="dxa"/>
          </w:tcPr>
          <w:p w14:paraId="08C9D861" w14:textId="77777777" w:rsidR="006D1ADF" w:rsidRPr="0092101D" w:rsidRDefault="006D1ADF" w:rsidP="006D1ADF">
            <w:pPr>
              <w:rPr>
                <w:rFonts w:ascii="Verdana" w:hAnsi="Verdana" w:cs="Arial"/>
              </w:rPr>
            </w:pPr>
            <w:r w:rsidRPr="0092101D">
              <w:rPr>
                <w:rFonts w:ascii="Verdana" w:hAnsi="Verdana" w:cs="Arial"/>
              </w:rPr>
              <w:t>This policy outlines our approach to letting the Council’s Housing Revenue Account (HRA) properties only in cases of a management move for existing Council tenants only.</w:t>
            </w:r>
          </w:p>
          <w:p w14:paraId="5A750007" w14:textId="207F7ECD" w:rsidR="003A37B6" w:rsidRPr="0092101D" w:rsidRDefault="003A37B6" w:rsidP="00724EFA">
            <w:pPr>
              <w:rPr>
                <w:rFonts w:ascii="Verdana" w:hAnsi="Verdana" w:cs="Arial"/>
              </w:rPr>
            </w:pPr>
          </w:p>
        </w:tc>
      </w:tr>
      <w:tr w:rsidR="00724EFA" w14:paraId="49BA43EB" w14:textId="77777777" w:rsidTr="00DA5066">
        <w:tc>
          <w:tcPr>
            <w:tcW w:w="796" w:type="dxa"/>
          </w:tcPr>
          <w:p w14:paraId="397CC579" w14:textId="4328137C" w:rsidR="00724EFA" w:rsidRDefault="0092101D" w:rsidP="00161564">
            <w:pPr>
              <w:rPr>
                <w:rFonts w:ascii="Verdana" w:hAnsi="Verdana" w:cs="Arial"/>
              </w:rPr>
            </w:pPr>
            <w:r>
              <w:rPr>
                <w:rFonts w:ascii="Verdana" w:hAnsi="Verdana" w:cs="Arial"/>
              </w:rPr>
              <w:t>5.2.</w:t>
            </w:r>
          </w:p>
        </w:tc>
        <w:tc>
          <w:tcPr>
            <w:tcW w:w="8554" w:type="dxa"/>
          </w:tcPr>
          <w:p w14:paraId="25986385" w14:textId="77777777" w:rsidR="00724EFA" w:rsidRPr="0092101D" w:rsidRDefault="00A80807" w:rsidP="00161564">
            <w:pPr>
              <w:rPr>
                <w:rFonts w:ascii="Verdana" w:hAnsi="Verdana" w:cs="Arial"/>
              </w:rPr>
            </w:pPr>
            <w:r w:rsidRPr="0092101D">
              <w:rPr>
                <w:rFonts w:ascii="Verdana" w:hAnsi="Verdana" w:cs="Arial"/>
              </w:rPr>
              <w:t>This policy does not cover temporary or permanent decants where the tenant needs to or intends to return to the same property. These moves are covered in the Decant Policy.</w:t>
            </w:r>
          </w:p>
          <w:p w14:paraId="02B08A67" w14:textId="1707A32C" w:rsidR="00A80807" w:rsidRPr="0092101D" w:rsidRDefault="00A80807" w:rsidP="00161564">
            <w:pPr>
              <w:rPr>
                <w:rFonts w:ascii="Verdana" w:hAnsi="Verdana" w:cs="Arial"/>
              </w:rPr>
            </w:pPr>
          </w:p>
        </w:tc>
      </w:tr>
      <w:tr w:rsidR="00724EFA" w14:paraId="295EB17A" w14:textId="77777777" w:rsidTr="00DA5066">
        <w:tc>
          <w:tcPr>
            <w:tcW w:w="796" w:type="dxa"/>
          </w:tcPr>
          <w:p w14:paraId="29F4E1BC" w14:textId="37983F73" w:rsidR="00724EFA" w:rsidRDefault="0092101D" w:rsidP="00161564">
            <w:pPr>
              <w:rPr>
                <w:rFonts w:ascii="Verdana" w:hAnsi="Verdana" w:cs="Arial"/>
              </w:rPr>
            </w:pPr>
            <w:r>
              <w:rPr>
                <w:rFonts w:ascii="Verdana" w:hAnsi="Verdana" w:cs="Arial"/>
              </w:rPr>
              <w:t>5.3.</w:t>
            </w:r>
          </w:p>
        </w:tc>
        <w:tc>
          <w:tcPr>
            <w:tcW w:w="8554" w:type="dxa"/>
          </w:tcPr>
          <w:p w14:paraId="15508DD5" w14:textId="77777777" w:rsidR="0075494C" w:rsidRPr="0092101D" w:rsidRDefault="0075494C" w:rsidP="0075494C">
            <w:pPr>
              <w:rPr>
                <w:rFonts w:ascii="Verdana" w:hAnsi="Verdana" w:cs="Arial"/>
              </w:rPr>
            </w:pPr>
            <w:r w:rsidRPr="0092101D">
              <w:rPr>
                <w:rFonts w:ascii="Verdana" w:hAnsi="Verdana" w:cs="Arial"/>
              </w:rPr>
              <w:t>Tenants who hold a tenancy with Nuneaton and Bedworth Borough Council may be considered for a Management Move depending on the assessment of their circumstances by the Local Authority.</w:t>
            </w:r>
          </w:p>
          <w:p w14:paraId="4E5DE2DE" w14:textId="77777777" w:rsidR="0075494C" w:rsidRPr="0092101D" w:rsidRDefault="0075494C" w:rsidP="0075494C">
            <w:pPr>
              <w:rPr>
                <w:rFonts w:ascii="Verdana" w:hAnsi="Verdana" w:cs="Arial"/>
              </w:rPr>
            </w:pPr>
          </w:p>
          <w:p w14:paraId="3284BD4B" w14:textId="77777777" w:rsidR="00724EFA" w:rsidRPr="0092101D" w:rsidRDefault="00724EFA" w:rsidP="00161564">
            <w:pPr>
              <w:rPr>
                <w:rFonts w:ascii="Verdana" w:hAnsi="Verdana" w:cs="Arial"/>
              </w:rPr>
            </w:pPr>
          </w:p>
        </w:tc>
      </w:tr>
      <w:tr w:rsidR="00724EFA" w14:paraId="3E32FA9E" w14:textId="77777777" w:rsidTr="00DA5066">
        <w:tc>
          <w:tcPr>
            <w:tcW w:w="796" w:type="dxa"/>
          </w:tcPr>
          <w:p w14:paraId="0219147F" w14:textId="5DD845B7" w:rsidR="00724EFA" w:rsidRDefault="0092101D" w:rsidP="00161564">
            <w:pPr>
              <w:rPr>
                <w:rFonts w:ascii="Verdana" w:hAnsi="Verdana" w:cs="Arial"/>
              </w:rPr>
            </w:pPr>
            <w:r>
              <w:rPr>
                <w:rFonts w:ascii="Verdana" w:hAnsi="Verdana" w:cs="Arial"/>
              </w:rPr>
              <w:t>5.4.</w:t>
            </w:r>
          </w:p>
        </w:tc>
        <w:tc>
          <w:tcPr>
            <w:tcW w:w="8554" w:type="dxa"/>
          </w:tcPr>
          <w:p w14:paraId="6DC6C774" w14:textId="77777777" w:rsidR="0092101D" w:rsidRPr="0092101D" w:rsidRDefault="0092101D" w:rsidP="0092101D">
            <w:pPr>
              <w:rPr>
                <w:rFonts w:ascii="Verdana" w:hAnsi="Verdana" w:cs="Arial"/>
              </w:rPr>
            </w:pPr>
            <w:r w:rsidRPr="0092101D">
              <w:rPr>
                <w:rFonts w:ascii="Verdana" w:hAnsi="Verdana" w:cs="Arial"/>
              </w:rPr>
              <w:t>Introductory tenants do not normally have the right to apply for a move until they become a Secure tenant. In cases where a Management Move is being considered, the Management Move Panel consisting of the Landlord Services Manager and Housing Solutions Manager must authorise the request.</w:t>
            </w:r>
          </w:p>
          <w:p w14:paraId="1733EDB5" w14:textId="77777777" w:rsidR="00724EFA" w:rsidRPr="0092101D" w:rsidRDefault="00724EFA" w:rsidP="00161564">
            <w:pPr>
              <w:rPr>
                <w:rFonts w:ascii="Verdana" w:hAnsi="Verdana" w:cs="Arial"/>
              </w:rPr>
            </w:pPr>
          </w:p>
        </w:tc>
      </w:tr>
      <w:tr w:rsidR="00724EFA" w14:paraId="22AA6FF2" w14:textId="77777777" w:rsidTr="00DA5066">
        <w:tc>
          <w:tcPr>
            <w:tcW w:w="796" w:type="dxa"/>
          </w:tcPr>
          <w:p w14:paraId="0608141F" w14:textId="6D50E082" w:rsidR="00724EFA" w:rsidRPr="0092101D" w:rsidRDefault="0092101D" w:rsidP="00161564">
            <w:pPr>
              <w:rPr>
                <w:rFonts w:ascii="Verdana" w:hAnsi="Verdana" w:cs="Arial"/>
                <w:b/>
                <w:bCs/>
                <w:color w:val="385623" w:themeColor="accent6" w:themeShade="80"/>
                <w:sz w:val="24"/>
                <w:szCs w:val="24"/>
              </w:rPr>
            </w:pPr>
            <w:r w:rsidRPr="0092101D">
              <w:rPr>
                <w:rFonts w:ascii="Verdana" w:hAnsi="Verdana" w:cs="Arial"/>
                <w:b/>
                <w:bCs/>
                <w:color w:val="385623" w:themeColor="accent6" w:themeShade="80"/>
                <w:sz w:val="24"/>
                <w:szCs w:val="24"/>
              </w:rPr>
              <w:t>6.</w:t>
            </w:r>
          </w:p>
        </w:tc>
        <w:tc>
          <w:tcPr>
            <w:tcW w:w="8554" w:type="dxa"/>
          </w:tcPr>
          <w:p w14:paraId="7EF89CF5" w14:textId="6C6D8D10" w:rsidR="00724EFA" w:rsidRPr="0092101D" w:rsidRDefault="0092101D" w:rsidP="00161564">
            <w:pPr>
              <w:rPr>
                <w:rFonts w:ascii="Verdana" w:hAnsi="Verdana" w:cs="Arial"/>
                <w:b/>
                <w:bCs/>
                <w:color w:val="385623" w:themeColor="accent6" w:themeShade="80"/>
                <w:sz w:val="24"/>
                <w:szCs w:val="24"/>
              </w:rPr>
            </w:pPr>
            <w:r w:rsidRPr="0092101D">
              <w:rPr>
                <w:rFonts w:ascii="Verdana" w:hAnsi="Verdana" w:cs="Arial"/>
                <w:b/>
                <w:bCs/>
                <w:color w:val="385623" w:themeColor="accent6" w:themeShade="80"/>
                <w:sz w:val="24"/>
                <w:szCs w:val="24"/>
              </w:rPr>
              <w:t>Responsibility</w:t>
            </w:r>
          </w:p>
        </w:tc>
      </w:tr>
      <w:tr w:rsidR="00724EFA" w14:paraId="1383FE8A" w14:textId="77777777" w:rsidTr="00DA5066">
        <w:tc>
          <w:tcPr>
            <w:tcW w:w="796" w:type="dxa"/>
          </w:tcPr>
          <w:p w14:paraId="00A54000" w14:textId="557900B1" w:rsidR="00724EFA" w:rsidRDefault="0092101D" w:rsidP="00161564">
            <w:pPr>
              <w:rPr>
                <w:rFonts w:ascii="Verdana" w:hAnsi="Verdana" w:cs="Arial"/>
              </w:rPr>
            </w:pPr>
            <w:r>
              <w:rPr>
                <w:rFonts w:ascii="Verdana" w:hAnsi="Verdana" w:cs="Arial"/>
              </w:rPr>
              <w:t>6.1.</w:t>
            </w:r>
          </w:p>
        </w:tc>
        <w:tc>
          <w:tcPr>
            <w:tcW w:w="8554" w:type="dxa"/>
          </w:tcPr>
          <w:p w14:paraId="55956712" w14:textId="77777777" w:rsidR="00267406" w:rsidRPr="00A216EF" w:rsidRDefault="00267406" w:rsidP="00267406">
            <w:pPr>
              <w:rPr>
                <w:rFonts w:ascii="Verdana" w:hAnsi="Verdana" w:cs="Arial"/>
              </w:rPr>
            </w:pPr>
            <w:r w:rsidRPr="00A216EF">
              <w:rPr>
                <w:rFonts w:ascii="Verdana" w:hAnsi="Verdana" w:cs="Arial"/>
              </w:rPr>
              <w:t>The Assistant Director for Social Housing &amp; Community Safety retains overall responsibility for the implementation of this policy.</w:t>
            </w:r>
          </w:p>
          <w:p w14:paraId="5E94F4E6" w14:textId="77777777" w:rsidR="00724EFA" w:rsidRPr="00A216EF" w:rsidRDefault="00724EFA" w:rsidP="00161564">
            <w:pPr>
              <w:rPr>
                <w:rFonts w:ascii="Verdana" w:hAnsi="Verdana" w:cs="Arial"/>
              </w:rPr>
            </w:pPr>
          </w:p>
        </w:tc>
      </w:tr>
      <w:tr w:rsidR="00724EFA" w14:paraId="3D3EE98D" w14:textId="77777777" w:rsidTr="00DA5066">
        <w:tc>
          <w:tcPr>
            <w:tcW w:w="796" w:type="dxa"/>
          </w:tcPr>
          <w:p w14:paraId="482A7095" w14:textId="14358ECA" w:rsidR="00724EFA" w:rsidRDefault="00A216EF" w:rsidP="00161564">
            <w:pPr>
              <w:rPr>
                <w:rFonts w:ascii="Verdana" w:hAnsi="Verdana" w:cs="Arial"/>
              </w:rPr>
            </w:pPr>
            <w:r>
              <w:rPr>
                <w:rFonts w:ascii="Verdana" w:hAnsi="Verdana" w:cs="Arial"/>
              </w:rPr>
              <w:t>6.2.</w:t>
            </w:r>
          </w:p>
        </w:tc>
        <w:tc>
          <w:tcPr>
            <w:tcW w:w="8554" w:type="dxa"/>
          </w:tcPr>
          <w:p w14:paraId="1113DA3D" w14:textId="77777777" w:rsidR="003E5008" w:rsidRPr="00A216EF" w:rsidRDefault="003E5008" w:rsidP="003E5008">
            <w:pPr>
              <w:rPr>
                <w:rFonts w:ascii="Verdana" w:hAnsi="Verdana" w:cs="Arial"/>
              </w:rPr>
            </w:pPr>
            <w:r w:rsidRPr="00A216EF">
              <w:rPr>
                <w:rFonts w:ascii="Verdana" w:hAnsi="Verdana" w:cs="Arial"/>
              </w:rPr>
              <w:t xml:space="preserve">The </w:t>
            </w:r>
            <w:r w:rsidRPr="00A216EF">
              <w:rPr>
                <w:rStyle w:val="ui-provider"/>
                <w:rFonts w:ascii="Verdana" w:hAnsi="Verdana" w:cs="Arial"/>
              </w:rPr>
              <w:t>operational day to day delivery of the policy is the responsibility of the Landlord Services Manager, Housing Solutions Manager and Team Leaders.</w:t>
            </w:r>
          </w:p>
          <w:p w14:paraId="1F2DDB33" w14:textId="77777777" w:rsidR="00724EFA" w:rsidRPr="00A216EF" w:rsidRDefault="00724EFA" w:rsidP="00161564">
            <w:pPr>
              <w:rPr>
                <w:rFonts w:ascii="Verdana" w:hAnsi="Verdana" w:cs="Arial"/>
              </w:rPr>
            </w:pPr>
          </w:p>
        </w:tc>
      </w:tr>
      <w:tr w:rsidR="00724EFA" w14:paraId="237F6FC0" w14:textId="77777777" w:rsidTr="00DA5066">
        <w:tc>
          <w:tcPr>
            <w:tcW w:w="796" w:type="dxa"/>
          </w:tcPr>
          <w:p w14:paraId="0ED62D84" w14:textId="2C4AFE32" w:rsidR="00724EFA" w:rsidRDefault="00A216EF" w:rsidP="00161564">
            <w:pPr>
              <w:rPr>
                <w:rFonts w:ascii="Verdana" w:hAnsi="Verdana" w:cs="Arial"/>
              </w:rPr>
            </w:pPr>
            <w:r>
              <w:rPr>
                <w:rFonts w:ascii="Verdana" w:hAnsi="Verdana" w:cs="Arial"/>
              </w:rPr>
              <w:t>6.3.</w:t>
            </w:r>
          </w:p>
        </w:tc>
        <w:tc>
          <w:tcPr>
            <w:tcW w:w="8554" w:type="dxa"/>
          </w:tcPr>
          <w:p w14:paraId="6B8CD457" w14:textId="77777777" w:rsidR="00ED09D7" w:rsidRPr="00A216EF" w:rsidRDefault="00ED09D7" w:rsidP="00ED09D7">
            <w:pPr>
              <w:rPr>
                <w:rFonts w:ascii="Verdana" w:hAnsi="Verdana" w:cs="Arial"/>
                <w:color w:val="010302"/>
              </w:rPr>
            </w:pPr>
            <w:r w:rsidRPr="00A216EF">
              <w:rPr>
                <w:rFonts w:ascii="Verdana" w:hAnsi="Verdana" w:cs="Arial"/>
              </w:rPr>
              <w:t xml:space="preserve">Compliance </w:t>
            </w:r>
            <w:r w:rsidRPr="00A216EF">
              <w:rPr>
                <w:rFonts w:ascii="Verdana" w:hAnsi="Verdana" w:cs="Arial"/>
                <w:color w:val="010302"/>
              </w:rPr>
              <w:t>with this policy from Officers will be randomly monitored through monthly 1-2-1s and quality and assurance exercises by Team Leaders.</w:t>
            </w:r>
          </w:p>
          <w:p w14:paraId="499CE80F" w14:textId="77777777" w:rsidR="00724EFA" w:rsidRPr="00A216EF" w:rsidRDefault="00724EFA" w:rsidP="00161564">
            <w:pPr>
              <w:rPr>
                <w:rFonts w:ascii="Verdana" w:hAnsi="Verdana" w:cs="Arial"/>
              </w:rPr>
            </w:pPr>
          </w:p>
        </w:tc>
      </w:tr>
      <w:tr w:rsidR="00724EFA" w14:paraId="21AF831C" w14:textId="77777777" w:rsidTr="00DA5066">
        <w:tc>
          <w:tcPr>
            <w:tcW w:w="796" w:type="dxa"/>
          </w:tcPr>
          <w:p w14:paraId="30326955" w14:textId="012F7B18" w:rsidR="00724EFA" w:rsidRDefault="00A216EF" w:rsidP="00161564">
            <w:pPr>
              <w:rPr>
                <w:rFonts w:ascii="Verdana" w:hAnsi="Verdana" w:cs="Arial"/>
              </w:rPr>
            </w:pPr>
            <w:r>
              <w:rPr>
                <w:rFonts w:ascii="Verdana" w:hAnsi="Verdana" w:cs="Arial"/>
              </w:rPr>
              <w:t>6.4.</w:t>
            </w:r>
          </w:p>
        </w:tc>
        <w:tc>
          <w:tcPr>
            <w:tcW w:w="8554" w:type="dxa"/>
          </w:tcPr>
          <w:p w14:paraId="03E59565" w14:textId="77777777" w:rsidR="00A216EF" w:rsidRPr="00A216EF" w:rsidRDefault="00A216EF" w:rsidP="00A216EF">
            <w:pPr>
              <w:rPr>
                <w:rStyle w:val="ui-provider"/>
                <w:rFonts w:ascii="Verdana" w:hAnsi="Verdana" w:cs="Arial"/>
              </w:rPr>
            </w:pPr>
            <w:r w:rsidRPr="00A216EF">
              <w:rPr>
                <w:rStyle w:val="ui-provider"/>
                <w:rFonts w:ascii="Verdana" w:hAnsi="Verdana" w:cs="Arial"/>
              </w:rPr>
              <w:t>All staff managing cases are responsible for reading and familiarising themselves with this policy and the associated procedures.</w:t>
            </w:r>
          </w:p>
          <w:p w14:paraId="18FFA026" w14:textId="77777777" w:rsidR="00724EFA" w:rsidRPr="00A216EF" w:rsidRDefault="00724EFA" w:rsidP="00161564">
            <w:pPr>
              <w:rPr>
                <w:rFonts w:ascii="Verdana" w:hAnsi="Verdana" w:cs="Arial"/>
              </w:rPr>
            </w:pPr>
          </w:p>
        </w:tc>
      </w:tr>
      <w:tr w:rsidR="00724EFA" w14:paraId="1E15A487" w14:textId="77777777" w:rsidTr="00DA5066">
        <w:tc>
          <w:tcPr>
            <w:tcW w:w="796" w:type="dxa"/>
          </w:tcPr>
          <w:p w14:paraId="796E001F" w14:textId="227807E9" w:rsidR="00724EFA" w:rsidRPr="001409B8" w:rsidRDefault="001409B8" w:rsidP="00161564">
            <w:pPr>
              <w:rPr>
                <w:rFonts w:ascii="Verdana" w:hAnsi="Verdana" w:cs="Arial"/>
                <w:b/>
                <w:bCs/>
                <w:color w:val="385623" w:themeColor="accent6" w:themeShade="80"/>
                <w:sz w:val="24"/>
                <w:szCs w:val="24"/>
              </w:rPr>
            </w:pPr>
            <w:r w:rsidRPr="001409B8">
              <w:rPr>
                <w:rFonts w:ascii="Verdana" w:hAnsi="Verdana" w:cs="Arial"/>
                <w:b/>
                <w:bCs/>
                <w:color w:val="385623" w:themeColor="accent6" w:themeShade="80"/>
                <w:sz w:val="24"/>
                <w:szCs w:val="24"/>
              </w:rPr>
              <w:t>7.</w:t>
            </w:r>
          </w:p>
        </w:tc>
        <w:tc>
          <w:tcPr>
            <w:tcW w:w="8554" w:type="dxa"/>
          </w:tcPr>
          <w:p w14:paraId="0C07B0C8" w14:textId="7FF2DFBE" w:rsidR="00724EFA" w:rsidRPr="001409B8" w:rsidRDefault="001409B8" w:rsidP="00161564">
            <w:pPr>
              <w:rPr>
                <w:rFonts w:ascii="Verdana" w:hAnsi="Verdana" w:cs="Arial"/>
                <w:b/>
                <w:bCs/>
                <w:color w:val="385623" w:themeColor="accent6" w:themeShade="80"/>
                <w:sz w:val="24"/>
                <w:szCs w:val="24"/>
              </w:rPr>
            </w:pPr>
            <w:r w:rsidRPr="001409B8">
              <w:rPr>
                <w:rFonts w:ascii="Verdana" w:hAnsi="Verdana" w:cs="Arial"/>
                <w:b/>
                <w:bCs/>
                <w:color w:val="385623" w:themeColor="accent6" w:themeShade="80"/>
                <w:sz w:val="24"/>
                <w:szCs w:val="24"/>
              </w:rPr>
              <w:t>Criteria for a Management Move</w:t>
            </w:r>
          </w:p>
        </w:tc>
      </w:tr>
      <w:tr w:rsidR="00724EFA" w14:paraId="03DFBE02" w14:textId="77777777" w:rsidTr="00DA5066">
        <w:tc>
          <w:tcPr>
            <w:tcW w:w="796" w:type="dxa"/>
          </w:tcPr>
          <w:p w14:paraId="07FCEEFA" w14:textId="0DC57212" w:rsidR="00724EFA" w:rsidRDefault="009840CD" w:rsidP="00161564">
            <w:pPr>
              <w:rPr>
                <w:rFonts w:ascii="Verdana" w:hAnsi="Verdana" w:cs="Arial"/>
              </w:rPr>
            </w:pPr>
            <w:r>
              <w:rPr>
                <w:rFonts w:ascii="Verdana" w:hAnsi="Verdana" w:cs="Arial"/>
              </w:rPr>
              <w:t>7.1.</w:t>
            </w:r>
          </w:p>
        </w:tc>
        <w:tc>
          <w:tcPr>
            <w:tcW w:w="8554" w:type="dxa"/>
          </w:tcPr>
          <w:p w14:paraId="21AC2F87" w14:textId="77777777" w:rsidR="005417D9" w:rsidRPr="009840CD" w:rsidRDefault="005417D9" w:rsidP="005417D9">
            <w:pPr>
              <w:rPr>
                <w:rFonts w:ascii="Verdana" w:hAnsi="Verdana" w:cs="Arial"/>
              </w:rPr>
            </w:pPr>
            <w:r w:rsidRPr="009840CD">
              <w:rPr>
                <w:rFonts w:ascii="Verdana" w:hAnsi="Verdana" w:cs="Arial"/>
              </w:rPr>
              <w:t>Management Moves may be considered for existing tenants where they cannot remain in their current property or where it is demonstrated that remaining in their existing property would endanger their lives or the life of a permanent household member.</w:t>
            </w:r>
          </w:p>
          <w:p w14:paraId="0D68ADC9" w14:textId="77777777" w:rsidR="00724EFA" w:rsidRPr="009840CD" w:rsidRDefault="00724EFA" w:rsidP="00161564">
            <w:pPr>
              <w:rPr>
                <w:rFonts w:ascii="Verdana" w:hAnsi="Verdana" w:cs="Arial"/>
              </w:rPr>
            </w:pPr>
          </w:p>
        </w:tc>
      </w:tr>
      <w:tr w:rsidR="001409B8" w14:paraId="5011A3FE" w14:textId="77777777" w:rsidTr="00DA5066">
        <w:tc>
          <w:tcPr>
            <w:tcW w:w="796" w:type="dxa"/>
          </w:tcPr>
          <w:p w14:paraId="2E2C1DB3" w14:textId="4BA256A1" w:rsidR="001409B8" w:rsidRDefault="009840CD" w:rsidP="00161564">
            <w:pPr>
              <w:rPr>
                <w:rFonts w:ascii="Verdana" w:hAnsi="Verdana" w:cs="Arial"/>
              </w:rPr>
            </w:pPr>
            <w:r>
              <w:rPr>
                <w:rFonts w:ascii="Verdana" w:hAnsi="Verdana" w:cs="Arial"/>
              </w:rPr>
              <w:t>7.2.</w:t>
            </w:r>
          </w:p>
        </w:tc>
        <w:tc>
          <w:tcPr>
            <w:tcW w:w="8554" w:type="dxa"/>
          </w:tcPr>
          <w:p w14:paraId="4B45C406" w14:textId="77777777" w:rsidR="009840CD" w:rsidRPr="009840CD" w:rsidRDefault="009840CD" w:rsidP="009840CD">
            <w:pPr>
              <w:rPr>
                <w:rFonts w:ascii="Verdana" w:hAnsi="Verdana" w:cs="Arial"/>
              </w:rPr>
            </w:pPr>
            <w:r w:rsidRPr="009840CD">
              <w:rPr>
                <w:rFonts w:ascii="Verdana" w:hAnsi="Verdana" w:cs="Arial"/>
              </w:rPr>
              <w:t>The following circumstances are where a management move may apply:</w:t>
            </w:r>
          </w:p>
          <w:p w14:paraId="4E7DFCB6" w14:textId="77777777" w:rsidR="009840CD" w:rsidRPr="009840CD" w:rsidRDefault="009840CD" w:rsidP="009840CD">
            <w:pPr>
              <w:rPr>
                <w:rFonts w:ascii="Verdana" w:hAnsi="Verdana" w:cs="Arial"/>
              </w:rPr>
            </w:pPr>
          </w:p>
          <w:p w14:paraId="5254A67C" w14:textId="77777777" w:rsidR="009840CD" w:rsidRPr="009840CD" w:rsidRDefault="009840CD" w:rsidP="009840CD">
            <w:pPr>
              <w:pStyle w:val="ListParagraph"/>
              <w:numPr>
                <w:ilvl w:val="0"/>
                <w:numId w:val="16"/>
              </w:numPr>
              <w:rPr>
                <w:rFonts w:ascii="Verdana" w:hAnsi="Verdana" w:cs="Arial"/>
              </w:rPr>
            </w:pPr>
            <w:r w:rsidRPr="009840CD">
              <w:rPr>
                <w:rFonts w:ascii="Verdana" w:hAnsi="Verdana" w:cs="Arial"/>
                <w:b/>
                <w:bCs/>
              </w:rPr>
              <w:lastRenderedPageBreak/>
              <w:t>Risk to Life due to Crime, Anti-Social Behaviour and Hate Crime-</w:t>
            </w:r>
            <w:r w:rsidRPr="009840CD">
              <w:rPr>
                <w:rFonts w:ascii="Verdana" w:hAnsi="Verdana" w:cs="Arial"/>
              </w:rPr>
              <w:t xml:space="preserve"> this occurs when a tenant, or permanent household member of the tenant is the victim of a threat of serious physical harm or has already been physically harmed. A threat would be considered where it can be demonstrated that perpetrators have been physically engaged in actions aimed at causing personal injury to either the tenant and/or their permanent household member. This can include physical damage to their property or belongings.</w:t>
            </w:r>
          </w:p>
          <w:p w14:paraId="1483D11F" w14:textId="77777777" w:rsidR="009840CD" w:rsidRPr="009840CD" w:rsidRDefault="009840CD" w:rsidP="009840CD">
            <w:pPr>
              <w:pStyle w:val="ListParagraph"/>
              <w:rPr>
                <w:rFonts w:ascii="Verdana" w:hAnsi="Verdana" w:cs="Arial"/>
              </w:rPr>
            </w:pPr>
          </w:p>
          <w:p w14:paraId="1FFA3F39" w14:textId="77777777" w:rsidR="009840CD" w:rsidRPr="009840CD" w:rsidRDefault="009840CD" w:rsidP="009840CD">
            <w:pPr>
              <w:pStyle w:val="ListParagraph"/>
              <w:numPr>
                <w:ilvl w:val="0"/>
                <w:numId w:val="16"/>
              </w:numPr>
              <w:rPr>
                <w:rFonts w:ascii="Verdana" w:hAnsi="Verdana" w:cs="Arial"/>
              </w:rPr>
            </w:pPr>
            <w:r w:rsidRPr="009840CD">
              <w:rPr>
                <w:rFonts w:ascii="Verdana" w:hAnsi="Verdana" w:cs="Arial"/>
                <w:b/>
                <w:bCs/>
              </w:rPr>
              <w:t>Risk to Life due to Property Condition –</w:t>
            </w:r>
            <w:r w:rsidRPr="009840CD">
              <w:rPr>
                <w:rFonts w:ascii="Verdana" w:hAnsi="Verdana" w:cs="Arial"/>
              </w:rPr>
              <w:t xml:space="preserve"> this occurs where the Council or one of its duly appointed contractors identify any category one hazards as defined by the Housing Health and Safety Rating System (HHSRS) and that cannot be promptly resolved to reduce the risk posed to the tenant and their household.</w:t>
            </w:r>
          </w:p>
          <w:p w14:paraId="5E582095" w14:textId="77777777" w:rsidR="009840CD" w:rsidRPr="009840CD" w:rsidRDefault="009840CD" w:rsidP="009840CD">
            <w:pPr>
              <w:rPr>
                <w:rFonts w:ascii="Verdana" w:hAnsi="Verdana" w:cs="Arial"/>
              </w:rPr>
            </w:pPr>
          </w:p>
          <w:p w14:paraId="75E6DAC7" w14:textId="77777777" w:rsidR="009840CD" w:rsidRPr="009840CD" w:rsidRDefault="009840CD" w:rsidP="009840CD">
            <w:pPr>
              <w:pStyle w:val="ListParagraph"/>
              <w:numPr>
                <w:ilvl w:val="0"/>
                <w:numId w:val="16"/>
              </w:numPr>
              <w:rPr>
                <w:rFonts w:ascii="Verdana" w:hAnsi="Verdana" w:cs="Arial"/>
              </w:rPr>
            </w:pPr>
            <w:r w:rsidRPr="009840CD">
              <w:rPr>
                <w:rFonts w:ascii="Verdana" w:hAnsi="Verdana" w:cs="Arial"/>
                <w:b/>
                <w:bCs/>
              </w:rPr>
              <w:t>Risk to Life due to Medical or Welfare Needs –</w:t>
            </w:r>
            <w:r w:rsidRPr="009840CD">
              <w:rPr>
                <w:rFonts w:ascii="Verdana" w:hAnsi="Verdana" w:cs="Arial"/>
              </w:rPr>
              <w:t xml:space="preserve"> this occurs where the tenant or a permanent household member has an exceptional need to be rehousing and applying and waiting for a move via the housing register would endanger their lives. </w:t>
            </w:r>
          </w:p>
          <w:p w14:paraId="6D7C2E85" w14:textId="77777777" w:rsidR="001409B8" w:rsidRPr="009840CD" w:rsidRDefault="001409B8" w:rsidP="00161564">
            <w:pPr>
              <w:rPr>
                <w:rFonts w:ascii="Verdana" w:hAnsi="Verdana" w:cs="Arial"/>
              </w:rPr>
            </w:pPr>
          </w:p>
        </w:tc>
      </w:tr>
      <w:tr w:rsidR="001409B8" w14:paraId="0F1D1BCB" w14:textId="77777777" w:rsidTr="00DA5066">
        <w:tc>
          <w:tcPr>
            <w:tcW w:w="796" w:type="dxa"/>
          </w:tcPr>
          <w:p w14:paraId="6D9628C7" w14:textId="7CCF12D6" w:rsidR="001409B8" w:rsidRDefault="009840CD" w:rsidP="00161564">
            <w:pPr>
              <w:rPr>
                <w:rFonts w:ascii="Verdana" w:hAnsi="Verdana" w:cs="Arial"/>
              </w:rPr>
            </w:pPr>
            <w:r>
              <w:rPr>
                <w:rFonts w:ascii="Verdana" w:hAnsi="Verdana" w:cs="Arial"/>
              </w:rPr>
              <w:lastRenderedPageBreak/>
              <w:t>7.3.</w:t>
            </w:r>
          </w:p>
        </w:tc>
        <w:tc>
          <w:tcPr>
            <w:tcW w:w="8554" w:type="dxa"/>
          </w:tcPr>
          <w:p w14:paraId="5D02E1FC" w14:textId="77777777" w:rsidR="008F12D7" w:rsidRPr="008F12D7" w:rsidRDefault="008F12D7" w:rsidP="008F12D7">
            <w:pPr>
              <w:rPr>
                <w:rFonts w:ascii="Verdana" w:hAnsi="Verdana" w:cs="Arial"/>
                <w:u w:val="single"/>
              </w:rPr>
            </w:pPr>
            <w:r w:rsidRPr="008F12D7">
              <w:rPr>
                <w:rFonts w:ascii="Verdana" w:hAnsi="Verdana" w:cs="Arial"/>
                <w:u w:val="single"/>
              </w:rPr>
              <w:t>Criteria not considered under the Management Move Policy</w:t>
            </w:r>
          </w:p>
          <w:p w14:paraId="52A463FA" w14:textId="77777777" w:rsidR="008F12D7" w:rsidRPr="008F12D7" w:rsidRDefault="008F12D7" w:rsidP="008F12D7">
            <w:pPr>
              <w:rPr>
                <w:rFonts w:ascii="Verdana" w:hAnsi="Verdana" w:cs="Arial"/>
              </w:rPr>
            </w:pPr>
          </w:p>
          <w:p w14:paraId="079C4916" w14:textId="77777777" w:rsidR="008F12D7" w:rsidRPr="008F12D7" w:rsidRDefault="008F12D7" w:rsidP="008F12D7">
            <w:pPr>
              <w:rPr>
                <w:rFonts w:ascii="Verdana" w:hAnsi="Verdana" w:cs="Arial"/>
              </w:rPr>
            </w:pPr>
            <w:r w:rsidRPr="008F12D7">
              <w:rPr>
                <w:rFonts w:ascii="Verdana" w:hAnsi="Verdana" w:cs="Arial"/>
              </w:rPr>
              <w:t>The following situations will not be considered for management moves:</w:t>
            </w:r>
          </w:p>
          <w:p w14:paraId="11AC8D9D" w14:textId="77777777" w:rsidR="008F12D7" w:rsidRPr="008F12D7" w:rsidRDefault="008F12D7" w:rsidP="008F12D7">
            <w:pPr>
              <w:rPr>
                <w:rFonts w:ascii="Verdana" w:hAnsi="Verdana" w:cs="Arial"/>
              </w:rPr>
            </w:pPr>
          </w:p>
          <w:p w14:paraId="23C1717D" w14:textId="47B6C5E2" w:rsidR="008F12D7" w:rsidRPr="008F12D7" w:rsidRDefault="008F12D7" w:rsidP="008F12D7">
            <w:pPr>
              <w:pStyle w:val="ListParagraph"/>
              <w:numPr>
                <w:ilvl w:val="0"/>
                <w:numId w:val="17"/>
              </w:numPr>
              <w:rPr>
                <w:rFonts w:ascii="Verdana" w:hAnsi="Verdana" w:cs="Arial"/>
              </w:rPr>
            </w:pPr>
            <w:r w:rsidRPr="008F12D7">
              <w:rPr>
                <w:rFonts w:ascii="Verdana" w:hAnsi="Verdana" w:cs="Arial"/>
              </w:rPr>
              <w:t>For survivors of domestic abuse, support to remain in the property or to move urgently to alternative accommodation is covered in our Domestic Abuse Policy</w:t>
            </w:r>
            <w:r w:rsidR="00E43E06">
              <w:rPr>
                <w:rFonts w:ascii="Verdana" w:hAnsi="Verdana" w:cs="Arial"/>
              </w:rPr>
              <w:t xml:space="preserve"> and Allocations Policy. </w:t>
            </w:r>
          </w:p>
          <w:p w14:paraId="4F2B9DC1" w14:textId="77777777" w:rsidR="008F12D7" w:rsidRPr="008F12D7" w:rsidRDefault="008F12D7" w:rsidP="008F12D7">
            <w:pPr>
              <w:rPr>
                <w:rFonts w:ascii="Verdana" w:hAnsi="Verdana" w:cs="Arial"/>
              </w:rPr>
            </w:pPr>
          </w:p>
          <w:p w14:paraId="574FCAAE" w14:textId="77777777" w:rsidR="008F12D7" w:rsidRPr="008F12D7" w:rsidRDefault="008F12D7" w:rsidP="008F12D7">
            <w:pPr>
              <w:pStyle w:val="ListParagraph"/>
              <w:numPr>
                <w:ilvl w:val="0"/>
                <w:numId w:val="17"/>
              </w:numPr>
              <w:rPr>
                <w:rFonts w:ascii="Verdana" w:hAnsi="Verdana" w:cs="Arial"/>
              </w:rPr>
            </w:pPr>
            <w:r w:rsidRPr="008F12D7">
              <w:rPr>
                <w:rFonts w:ascii="Verdana" w:hAnsi="Verdana" w:cs="Arial"/>
              </w:rPr>
              <w:t>If a property becomes uninhabitable (for example: fire, flood, extensive structural works, damp &amp; mould, or major repair works are identified); these instances are covered in the Decant Policy.</w:t>
            </w:r>
          </w:p>
          <w:p w14:paraId="2B1F5FB0" w14:textId="77777777" w:rsidR="008F12D7" w:rsidRPr="008F12D7" w:rsidRDefault="008F12D7" w:rsidP="008F12D7">
            <w:pPr>
              <w:pStyle w:val="ListParagraph"/>
              <w:rPr>
                <w:rFonts w:ascii="Verdana" w:hAnsi="Verdana" w:cs="Arial"/>
              </w:rPr>
            </w:pPr>
          </w:p>
          <w:p w14:paraId="6DA69AAF" w14:textId="77777777" w:rsidR="008F12D7" w:rsidRPr="008F12D7" w:rsidRDefault="008F12D7" w:rsidP="008F12D7">
            <w:pPr>
              <w:pStyle w:val="ListParagraph"/>
              <w:numPr>
                <w:ilvl w:val="0"/>
                <w:numId w:val="17"/>
              </w:numPr>
              <w:rPr>
                <w:rFonts w:ascii="Verdana" w:hAnsi="Verdana" w:cs="Arial"/>
              </w:rPr>
            </w:pPr>
            <w:r w:rsidRPr="008F12D7">
              <w:rPr>
                <w:rFonts w:ascii="Verdana" w:hAnsi="Verdana" w:cs="Arial"/>
              </w:rPr>
              <w:t>Instances of neglect, intentional damage or refusal to have remedial works carried out to a property by a tenant, their household members or visitors are excluded from this policy.</w:t>
            </w:r>
          </w:p>
          <w:p w14:paraId="34A73EB3" w14:textId="77777777" w:rsidR="001409B8" w:rsidRPr="003A37B6" w:rsidRDefault="001409B8" w:rsidP="00161564">
            <w:pPr>
              <w:rPr>
                <w:rFonts w:ascii="Verdana" w:hAnsi="Verdana" w:cs="Arial"/>
              </w:rPr>
            </w:pPr>
          </w:p>
        </w:tc>
      </w:tr>
      <w:tr w:rsidR="001409B8" w14:paraId="229A9559" w14:textId="77777777" w:rsidTr="00DA5066">
        <w:tc>
          <w:tcPr>
            <w:tcW w:w="796" w:type="dxa"/>
          </w:tcPr>
          <w:p w14:paraId="4EA62B7C" w14:textId="591DD9BE" w:rsidR="001409B8" w:rsidRPr="000F0785" w:rsidRDefault="006B70B7" w:rsidP="00161564">
            <w:pPr>
              <w:rPr>
                <w:rFonts w:ascii="Verdana" w:hAnsi="Verdana" w:cs="Arial"/>
                <w:b/>
                <w:bCs/>
                <w:color w:val="385623" w:themeColor="accent6" w:themeShade="80"/>
                <w:sz w:val="24"/>
                <w:szCs w:val="24"/>
              </w:rPr>
            </w:pPr>
            <w:r w:rsidRPr="000F0785">
              <w:rPr>
                <w:rFonts w:ascii="Verdana" w:hAnsi="Verdana" w:cs="Arial"/>
                <w:b/>
                <w:bCs/>
                <w:color w:val="385623" w:themeColor="accent6" w:themeShade="80"/>
                <w:sz w:val="24"/>
                <w:szCs w:val="24"/>
              </w:rPr>
              <w:t>8.</w:t>
            </w:r>
          </w:p>
        </w:tc>
        <w:tc>
          <w:tcPr>
            <w:tcW w:w="8554" w:type="dxa"/>
          </w:tcPr>
          <w:p w14:paraId="57DF0A4A" w14:textId="652C6E42" w:rsidR="001409B8" w:rsidRPr="000F0785" w:rsidRDefault="006B70B7" w:rsidP="00161564">
            <w:pPr>
              <w:rPr>
                <w:rFonts w:ascii="Verdana" w:hAnsi="Verdana" w:cs="Arial"/>
                <w:b/>
                <w:bCs/>
                <w:color w:val="385623" w:themeColor="accent6" w:themeShade="80"/>
                <w:sz w:val="24"/>
                <w:szCs w:val="24"/>
              </w:rPr>
            </w:pPr>
            <w:r w:rsidRPr="000F0785">
              <w:rPr>
                <w:rFonts w:ascii="Verdana" w:hAnsi="Verdana" w:cs="Arial"/>
                <w:b/>
                <w:bCs/>
                <w:color w:val="385623" w:themeColor="accent6" w:themeShade="80"/>
                <w:sz w:val="24"/>
                <w:szCs w:val="24"/>
              </w:rPr>
              <w:t>Management Move Applications</w:t>
            </w:r>
          </w:p>
        </w:tc>
      </w:tr>
      <w:tr w:rsidR="001409B8" w14:paraId="02EECC01" w14:textId="77777777" w:rsidTr="00DA5066">
        <w:tc>
          <w:tcPr>
            <w:tcW w:w="796" w:type="dxa"/>
          </w:tcPr>
          <w:p w14:paraId="53BC984F" w14:textId="2EF6C704" w:rsidR="001409B8" w:rsidRDefault="006B70B7" w:rsidP="00161564">
            <w:pPr>
              <w:rPr>
                <w:rFonts w:ascii="Verdana" w:hAnsi="Verdana" w:cs="Arial"/>
              </w:rPr>
            </w:pPr>
            <w:r>
              <w:rPr>
                <w:rFonts w:ascii="Verdana" w:hAnsi="Verdana" w:cs="Arial"/>
              </w:rPr>
              <w:t>8.1.</w:t>
            </w:r>
          </w:p>
        </w:tc>
        <w:tc>
          <w:tcPr>
            <w:tcW w:w="8554" w:type="dxa"/>
          </w:tcPr>
          <w:p w14:paraId="5EBC8626" w14:textId="77777777" w:rsidR="00E1135C" w:rsidRPr="00E1135C" w:rsidRDefault="00E1135C" w:rsidP="00E1135C">
            <w:pPr>
              <w:rPr>
                <w:rFonts w:ascii="Verdana" w:hAnsi="Verdana" w:cs="Arial"/>
              </w:rPr>
            </w:pPr>
            <w:r w:rsidRPr="00E1135C">
              <w:rPr>
                <w:rFonts w:ascii="Verdana" w:hAnsi="Verdana" w:cs="Arial"/>
              </w:rPr>
              <w:t>If a tenant or permanent household member’s life would be in danger to remain in their property, they must contact the Council immediately. This can be done in the following ways:</w:t>
            </w:r>
          </w:p>
          <w:p w14:paraId="01735359" w14:textId="77777777" w:rsidR="00E1135C" w:rsidRPr="00E1135C" w:rsidRDefault="00E1135C" w:rsidP="00E1135C">
            <w:pPr>
              <w:rPr>
                <w:rFonts w:ascii="Verdana" w:hAnsi="Verdana" w:cs="Arial"/>
              </w:rPr>
            </w:pPr>
          </w:p>
          <w:p w14:paraId="3A528CBF" w14:textId="77777777" w:rsidR="00E1135C" w:rsidRPr="00E1135C" w:rsidRDefault="00E1135C" w:rsidP="00E1135C">
            <w:pPr>
              <w:pStyle w:val="ListParagraph"/>
              <w:numPr>
                <w:ilvl w:val="0"/>
                <w:numId w:val="18"/>
              </w:numPr>
              <w:rPr>
                <w:rFonts w:ascii="Verdana" w:hAnsi="Verdana" w:cs="Arial"/>
              </w:rPr>
            </w:pPr>
            <w:r w:rsidRPr="00E1135C">
              <w:rPr>
                <w:rFonts w:ascii="Verdana" w:hAnsi="Verdana" w:cs="Arial"/>
              </w:rPr>
              <w:t>Contact their Anti-Social Behaviour Officer</w:t>
            </w:r>
          </w:p>
          <w:p w14:paraId="4F87F7EB" w14:textId="77777777" w:rsidR="001409B8" w:rsidRPr="00E1135C" w:rsidRDefault="00E1135C" w:rsidP="00E1135C">
            <w:pPr>
              <w:pStyle w:val="ListParagraph"/>
              <w:numPr>
                <w:ilvl w:val="0"/>
                <w:numId w:val="18"/>
              </w:numPr>
              <w:rPr>
                <w:rFonts w:ascii="Verdana" w:hAnsi="Verdana" w:cs="Arial"/>
              </w:rPr>
            </w:pPr>
            <w:r w:rsidRPr="00E1135C">
              <w:rPr>
                <w:rFonts w:ascii="Verdana" w:hAnsi="Verdana" w:cs="Arial"/>
              </w:rPr>
              <w:t>Contact their Tenancy Management Officer or Independent Living Officer</w:t>
            </w:r>
          </w:p>
          <w:p w14:paraId="052BF8A7" w14:textId="77315338" w:rsidR="00E1135C" w:rsidRPr="00E1135C" w:rsidRDefault="00E1135C" w:rsidP="00E1135C">
            <w:pPr>
              <w:rPr>
                <w:rFonts w:ascii="Arial" w:hAnsi="Arial" w:cs="Arial"/>
              </w:rPr>
            </w:pPr>
          </w:p>
        </w:tc>
      </w:tr>
      <w:tr w:rsidR="001409B8" w14:paraId="3E9D3B5D" w14:textId="77777777" w:rsidTr="00DA5066">
        <w:tc>
          <w:tcPr>
            <w:tcW w:w="796" w:type="dxa"/>
          </w:tcPr>
          <w:p w14:paraId="5B11A4B3" w14:textId="17051D76" w:rsidR="001409B8" w:rsidRDefault="00E1135C" w:rsidP="00161564">
            <w:pPr>
              <w:rPr>
                <w:rFonts w:ascii="Verdana" w:hAnsi="Verdana" w:cs="Arial"/>
              </w:rPr>
            </w:pPr>
            <w:r>
              <w:rPr>
                <w:rFonts w:ascii="Verdana" w:hAnsi="Verdana" w:cs="Arial"/>
              </w:rPr>
              <w:lastRenderedPageBreak/>
              <w:t>8.2.</w:t>
            </w:r>
          </w:p>
        </w:tc>
        <w:tc>
          <w:tcPr>
            <w:tcW w:w="8554" w:type="dxa"/>
          </w:tcPr>
          <w:p w14:paraId="133375D8" w14:textId="77777777" w:rsidR="006B1946" w:rsidRPr="00394BA3" w:rsidRDefault="006B1946" w:rsidP="006B1946">
            <w:pPr>
              <w:rPr>
                <w:rFonts w:ascii="Verdana" w:hAnsi="Verdana" w:cs="Arial"/>
              </w:rPr>
            </w:pPr>
            <w:r w:rsidRPr="00394BA3">
              <w:rPr>
                <w:rFonts w:ascii="Verdana" w:hAnsi="Verdana" w:cs="Arial"/>
              </w:rPr>
              <w:t>The Lead Officer will contact the tenant within one working day of receiving the request for a management move to ascertain details of the situation endangering lives.</w:t>
            </w:r>
          </w:p>
          <w:p w14:paraId="4EE83DF2" w14:textId="77777777" w:rsidR="001409B8" w:rsidRPr="00394BA3" w:rsidRDefault="001409B8" w:rsidP="00161564">
            <w:pPr>
              <w:rPr>
                <w:rFonts w:ascii="Verdana" w:hAnsi="Verdana" w:cs="Arial"/>
              </w:rPr>
            </w:pPr>
          </w:p>
        </w:tc>
      </w:tr>
      <w:tr w:rsidR="001409B8" w14:paraId="706277E6" w14:textId="77777777" w:rsidTr="00DA5066">
        <w:tc>
          <w:tcPr>
            <w:tcW w:w="796" w:type="dxa"/>
          </w:tcPr>
          <w:p w14:paraId="5649C68C" w14:textId="47B07A43" w:rsidR="001409B8" w:rsidRDefault="00394BA3" w:rsidP="00161564">
            <w:pPr>
              <w:rPr>
                <w:rFonts w:ascii="Verdana" w:hAnsi="Verdana" w:cs="Arial"/>
              </w:rPr>
            </w:pPr>
            <w:r>
              <w:rPr>
                <w:rFonts w:ascii="Verdana" w:hAnsi="Verdana" w:cs="Arial"/>
              </w:rPr>
              <w:t>8.3.</w:t>
            </w:r>
          </w:p>
        </w:tc>
        <w:tc>
          <w:tcPr>
            <w:tcW w:w="8554" w:type="dxa"/>
          </w:tcPr>
          <w:p w14:paraId="2AD32936" w14:textId="77777777" w:rsidR="00CF63A3" w:rsidRPr="00394BA3" w:rsidRDefault="00CF63A3" w:rsidP="00CF63A3">
            <w:pPr>
              <w:rPr>
                <w:rFonts w:ascii="Verdana" w:hAnsi="Verdana" w:cs="Arial"/>
              </w:rPr>
            </w:pPr>
            <w:r w:rsidRPr="00394BA3">
              <w:rPr>
                <w:rFonts w:ascii="Verdana" w:hAnsi="Verdana" w:cs="Arial"/>
              </w:rPr>
              <w:t>The Officer will compile a Management Move Review Pack within two working days of the request, and the Management Move Panel will hear the case within five working days of the request.</w:t>
            </w:r>
          </w:p>
          <w:p w14:paraId="6752D92D" w14:textId="77777777" w:rsidR="001409B8" w:rsidRPr="00394BA3" w:rsidRDefault="001409B8" w:rsidP="00161564">
            <w:pPr>
              <w:rPr>
                <w:rFonts w:ascii="Verdana" w:hAnsi="Verdana" w:cs="Arial"/>
              </w:rPr>
            </w:pPr>
          </w:p>
        </w:tc>
      </w:tr>
      <w:tr w:rsidR="001409B8" w14:paraId="0BB5FA45" w14:textId="77777777" w:rsidTr="00DA5066">
        <w:tc>
          <w:tcPr>
            <w:tcW w:w="796" w:type="dxa"/>
          </w:tcPr>
          <w:p w14:paraId="039A8A68" w14:textId="22DCC032" w:rsidR="001409B8" w:rsidRDefault="00394BA3" w:rsidP="00161564">
            <w:pPr>
              <w:rPr>
                <w:rFonts w:ascii="Verdana" w:hAnsi="Verdana" w:cs="Arial"/>
              </w:rPr>
            </w:pPr>
            <w:r>
              <w:rPr>
                <w:rFonts w:ascii="Verdana" w:hAnsi="Verdana" w:cs="Arial"/>
              </w:rPr>
              <w:t>8.4.</w:t>
            </w:r>
          </w:p>
        </w:tc>
        <w:tc>
          <w:tcPr>
            <w:tcW w:w="8554" w:type="dxa"/>
          </w:tcPr>
          <w:p w14:paraId="0301250D" w14:textId="77777777" w:rsidR="00E64453" w:rsidRPr="00394BA3" w:rsidRDefault="00E64453" w:rsidP="00E64453">
            <w:pPr>
              <w:rPr>
                <w:rFonts w:ascii="Verdana" w:hAnsi="Verdana" w:cs="Arial"/>
              </w:rPr>
            </w:pPr>
            <w:r w:rsidRPr="00394BA3">
              <w:rPr>
                <w:rFonts w:ascii="Verdana" w:hAnsi="Verdana" w:cs="Arial"/>
              </w:rPr>
              <w:t>The Lead Officer will determine if temporary accommodation is required whilst the Management Move decision is pending, and if approved, whilst waiting for an offer of alternative accommodation.</w:t>
            </w:r>
          </w:p>
          <w:p w14:paraId="5ABC7A8B" w14:textId="77777777" w:rsidR="001409B8" w:rsidRPr="00394BA3" w:rsidRDefault="001409B8" w:rsidP="00161564">
            <w:pPr>
              <w:rPr>
                <w:rFonts w:ascii="Verdana" w:hAnsi="Verdana" w:cs="Arial"/>
              </w:rPr>
            </w:pPr>
          </w:p>
        </w:tc>
      </w:tr>
      <w:tr w:rsidR="001409B8" w14:paraId="05352113" w14:textId="77777777" w:rsidTr="00DA5066">
        <w:tc>
          <w:tcPr>
            <w:tcW w:w="796" w:type="dxa"/>
          </w:tcPr>
          <w:p w14:paraId="04BB0CDC" w14:textId="5EB517F3" w:rsidR="001409B8" w:rsidRDefault="00394BA3" w:rsidP="00161564">
            <w:pPr>
              <w:rPr>
                <w:rFonts w:ascii="Verdana" w:hAnsi="Verdana" w:cs="Arial"/>
              </w:rPr>
            </w:pPr>
            <w:r>
              <w:rPr>
                <w:rFonts w:ascii="Verdana" w:hAnsi="Verdana" w:cs="Arial"/>
              </w:rPr>
              <w:t>8.5.</w:t>
            </w:r>
          </w:p>
        </w:tc>
        <w:tc>
          <w:tcPr>
            <w:tcW w:w="8554" w:type="dxa"/>
          </w:tcPr>
          <w:p w14:paraId="1C6FD397" w14:textId="77777777" w:rsidR="00EF5378" w:rsidRPr="00394BA3" w:rsidRDefault="00EF5378" w:rsidP="00EF5378">
            <w:pPr>
              <w:rPr>
                <w:rFonts w:ascii="Verdana" w:hAnsi="Verdana" w:cs="Arial"/>
              </w:rPr>
            </w:pPr>
            <w:r w:rsidRPr="00394BA3">
              <w:rPr>
                <w:rFonts w:ascii="Verdana" w:hAnsi="Verdana" w:cs="Arial"/>
              </w:rPr>
              <w:t>When offering temporary accommodation, this is at the Council’s discretion, and we will only offer temporary accommodation in a location we deem suitable for the tenant and their permanent household members.</w:t>
            </w:r>
          </w:p>
          <w:p w14:paraId="16E90A19" w14:textId="77777777" w:rsidR="001409B8" w:rsidRPr="00394BA3" w:rsidRDefault="001409B8" w:rsidP="00161564">
            <w:pPr>
              <w:rPr>
                <w:rFonts w:ascii="Verdana" w:hAnsi="Verdana" w:cs="Arial"/>
              </w:rPr>
            </w:pPr>
          </w:p>
        </w:tc>
      </w:tr>
      <w:tr w:rsidR="008B7A05" w14:paraId="2CECABE7" w14:textId="77777777" w:rsidTr="00DA5066">
        <w:tc>
          <w:tcPr>
            <w:tcW w:w="796" w:type="dxa"/>
          </w:tcPr>
          <w:p w14:paraId="2AC4D223" w14:textId="0127EEF3" w:rsidR="008B7A05" w:rsidRDefault="00394BA3" w:rsidP="00161564">
            <w:pPr>
              <w:rPr>
                <w:rFonts w:ascii="Verdana" w:hAnsi="Verdana" w:cs="Arial"/>
              </w:rPr>
            </w:pPr>
            <w:r>
              <w:rPr>
                <w:rFonts w:ascii="Verdana" w:hAnsi="Verdana" w:cs="Arial"/>
              </w:rPr>
              <w:t>8.6.</w:t>
            </w:r>
          </w:p>
        </w:tc>
        <w:tc>
          <w:tcPr>
            <w:tcW w:w="8554" w:type="dxa"/>
          </w:tcPr>
          <w:p w14:paraId="1E328022" w14:textId="77777777" w:rsidR="00394BA3" w:rsidRPr="00394BA3" w:rsidRDefault="00394BA3" w:rsidP="00394BA3">
            <w:pPr>
              <w:rPr>
                <w:rFonts w:ascii="Verdana" w:hAnsi="Verdana" w:cs="Arial"/>
              </w:rPr>
            </w:pPr>
            <w:r w:rsidRPr="00394BA3">
              <w:rPr>
                <w:rFonts w:ascii="Verdana" w:hAnsi="Verdana" w:cs="Arial"/>
              </w:rPr>
              <w:t>Temporary accommodation availability is limited, and we can only make offers to temporary accommodation where there are vacancies. Please note that temporary accommodation could mean moving out of the local area. Every effort will be made to minimise distress and inconvenience where practicable.</w:t>
            </w:r>
          </w:p>
          <w:p w14:paraId="5BBE41BC" w14:textId="77777777" w:rsidR="008B7A05" w:rsidRPr="00394BA3" w:rsidRDefault="008B7A05" w:rsidP="00161564">
            <w:pPr>
              <w:rPr>
                <w:rFonts w:ascii="Verdana" w:hAnsi="Verdana" w:cs="Arial"/>
              </w:rPr>
            </w:pPr>
          </w:p>
        </w:tc>
      </w:tr>
      <w:tr w:rsidR="008B7A05" w14:paraId="17C34477" w14:textId="77777777" w:rsidTr="00DA5066">
        <w:tc>
          <w:tcPr>
            <w:tcW w:w="796" w:type="dxa"/>
          </w:tcPr>
          <w:p w14:paraId="31F96B02" w14:textId="6B579BE7" w:rsidR="008B7A05" w:rsidRPr="00425F1D" w:rsidRDefault="00425F1D" w:rsidP="00161564">
            <w:pPr>
              <w:rPr>
                <w:rFonts w:ascii="Verdana" w:hAnsi="Verdana" w:cs="Arial"/>
                <w:b/>
                <w:bCs/>
                <w:color w:val="385623" w:themeColor="accent6" w:themeShade="80"/>
                <w:sz w:val="24"/>
                <w:szCs w:val="24"/>
              </w:rPr>
            </w:pPr>
            <w:r w:rsidRPr="00425F1D">
              <w:rPr>
                <w:rFonts w:ascii="Verdana" w:hAnsi="Verdana" w:cs="Arial"/>
                <w:b/>
                <w:bCs/>
                <w:color w:val="385623" w:themeColor="accent6" w:themeShade="80"/>
                <w:sz w:val="24"/>
                <w:szCs w:val="24"/>
              </w:rPr>
              <w:t>9.</w:t>
            </w:r>
          </w:p>
        </w:tc>
        <w:tc>
          <w:tcPr>
            <w:tcW w:w="8554" w:type="dxa"/>
          </w:tcPr>
          <w:p w14:paraId="488B0172" w14:textId="64C16495" w:rsidR="008B7A05" w:rsidRPr="00425F1D" w:rsidRDefault="00425F1D" w:rsidP="00161564">
            <w:pPr>
              <w:rPr>
                <w:rFonts w:ascii="Verdana" w:hAnsi="Verdana" w:cs="Arial"/>
                <w:b/>
                <w:bCs/>
                <w:color w:val="385623" w:themeColor="accent6" w:themeShade="80"/>
                <w:sz w:val="24"/>
                <w:szCs w:val="24"/>
              </w:rPr>
            </w:pPr>
            <w:r w:rsidRPr="00425F1D">
              <w:rPr>
                <w:rFonts w:ascii="Verdana" w:hAnsi="Verdana" w:cs="Arial"/>
                <w:b/>
                <w:bCs/>
                <w:color w:val="385623" w:themeColor="accent6" w:themeShade="80"/>
                <w:sz w:val="24"/>
                <w:szCs w:val="24"/>
              </w:rPr>
              <w:t>Supporting Documentation for a Management Move</w:t>
            </w:r>
          </w:p>
        </w:tc>
      </w:tr>
      <w:tr w:rsidR="008B7A05" w14:paraId="34CC1AFD" w14:textId="77777777" w:rsidTr="00DA5066">
        <w:tc>
          <w:tcPr>
            <w:tcW w:w="796" w:type="dxa"/>
          </w:tcPr>
          <w:p w14:paraId="6F22EBC8" w14:textId="28F3B330" w:rsidR="008B7A05" w:rsidRPr="00DD76E3" w:rsidRDefault="009A7793" w:rsidP="00161564">
            <w:pPr>
              <w:rPr>
                <w:rFonts w:ascii="Verdana" w:hAnsi="Verdana" w:cs="Arial"/>
              </w:rPr>
            </w:pPr>
            <w:r w:rsidRPr="00DD76E3">
              <w:rPr>
                <w:rFonts w:ascii="Verdana" w:hAnsi="Verdana" w:cs="Arial"/>
              </w:rPr>
              <w:t>9.1.</w:t>
            </w:r>
          </w:p>
        </w:tc>
        <w:tc>
          <w:tcPr>
            <w:tcW w:w="8554" w:type="dxa"/>
          </w:tcPr>
          <w:p w14:paraId="1F5CFE5F" w14:textId="77777777" w:rsidR="009A7793" w:rsidRPr="00DD76E3" w:rsidRDefault="009A7793" w:rsidP="009A7793">
            <w:pPr>
              <w:rPr>
                <w:rFonts w:ascii="Verdana" w:hAnsi="Verdana" w:cs="Arial"/>
              </w:rPr>
            </w:pPr>
            <w:r w:rsidRPr="00DD76E3">
              <w:rPr>
                <w:rFonts w:ascii="Verdana" w:hAnsi="Verdana" w:cs="Arial"/>
              </w:rPr>
              <w:t>To enable the Council to risk-assess every situation, supporting documentation and evidence will be needed to support every application for a management move. The Council will need explicit consent to request this evidence from any relevant party or organisation to support the application. Failure to provide this consent will lead to the management move request being refused.</w:t>
            </w:r>
          </w:p>
          <w:p w14:paraId="29BC3864" w14:textId="77777777" w:rsidR="008B7A05" w:rsidRPr="00DD76E3" w:rsidRDefault="008B7A05" w:rsidP="00161564">
            <w:pPr>
              <w:rPr>
                <w:rFonts w:ascii="Verdana" w:hAnsi="Verdana" w:cs="Arial"/>
              </w:rPr>
            </w:pPr>
          </w:p>
        </w:tc>
      </w:tr>
      <w:tr w:rsidR="008B7A05" w14:paraId="16415EC4" w14:textId="77777777" w:rsidTr="00DA5066">
        <w:tc>
          <w:tcPr>
            <w:tcW w:w="796" w:type="dxa"/>
          </w:tcPr>
          <w:p w14:paraId="275C8689" w14:textId="77861F22" w:rsidR="008B7A05" w:rsidRPr="00DD76E3" w:rsidRDefault="009A7793" w:rsidP="00161564">
            <w:pPr>
              <w:rPr>
                <w:rFonts w:ascii="Verdana" w:hAnsi="Verdana" w:cs="Arial"/>
              </w:rPr>
            </w:pPr>
            <w:r w:rsidRPr="00DD76E3">
              <w:rPr>
                <w:rFonts w:ascii="Verdana" w:hAnsi="Verdana" w:cs="Arial"/>
              </w:rPr>
              <w:t>9.2.</w:t>
            </w:r>
          </w:p>
        </w:tc>
        <w:tc>
          <w:tcPr>
            <w:tcW w:w="8554" w:type="dxa"/>
          </w:tcPr>
          <w:p w14:paraId="3E62EB84" w14:textId="77777777" w:rsidR="006432F3" w:rsidRPr="00DD76E3" w:rsidRDefault="006432F3" w:rsidP="006432F3">
            <w:pPr>
              <w:rPr>
                <w:rFonts w:ascii="Verdana" w:hAnsi="Verdana" w:cs="Arial"/>
                <w:u w:val="single"/>
              </w:rPr>
            </w:pPr>
            <w:r w:rsidRPr="00DD76E3">
              <w:rPr>
                <w:rFonts w:ascii="Verdana" w:hAnsi="Verdana" w:cs="Arial"/>
                <w:u w:val="single"/>
              </w:rPr>
              <w:t>Crime, Anti-Social Behaviour and Hate Crime</w:t>
            </w:r>
          </w:p>
          <w:p w14:paraId="73F206C9" w14:textId="77777777" w:rsidR="006432F3" w:rsidRPr="00DD76E3" w:rsidRDefault="006432F3" w:rsidP="006432F3">
            <w:pPr>
              <w:rPr>
                <w:rFonts w:ascii="Verdana" w:hAnsi="Verdana" w:cs="Arial"/>
                <w:u w:val="single"/>
              </w:rPr>
            </w:pPr>
          </w:p>
          <w:p w14:paraId="26FB3313" w14:textId="77777777" w:rsidR="006432F3" w:rsidRPr="00DD76E3" w:rsidRDefault="006432F3" w:rsidP="006432F3">
            <w:pPr>
              <w:rPr>
                <w:rFonts w:ascii="Verdana" w:hAnsi="Verdana" w:cs="Arial"/>
              </w:rPr>
            </w:pPr>
            <w:r w:rsidRPr="00DD76E3">
              <w:rPr>
                <w:rFonts w:ascii="Verdana" w:hAnsi="Verdana" w:cs="Arial"/>
              </w:rPr>
              <w:t xml:space="preserve">When determining if a threat is credible, we will consider any current or previous actions or patterns of behaviour displayed by the perpetrator. We will also consider where there is a continuous and escalating pattern of more severe threats to the victim. In these situations, the combination of all previous incidents suggests that a serious threat, assault or other forms of physical harm is more likely to be carried out against the tenant or their permanent household members. Examples of this would include anti-social behaviour, hate crime and cuckooing. </w:t>
            </w:r>
          </w:p>
          <w:p w14:paraId="0DE322AB" w14:textId="77777777" w:rsidR="006432F3" w:rsidRPr="00DD76E3" w:rsidRDefault="006432F3" w:rsidP="006432F3">
            <w:pPr>
              <w:rPr>
                <w:rFonts w:ascii="Verdana" w:hAnsi="Verdana" w:cs="Arial"/>
              </w:rPr>
            </w:pPr>
          </w:p>
          <w:p w14:paraId="5DB5A787" w14:textId="77777777" w:rsidR="006432F3" w:rsidRPr="00DD76E3" w:rsidRDefault="006432F3" w:rsidP="006432F3">
            <w:pPr>
              <w:rPr>
                <w:rFonts w:ascii="Verdana" w:hAnsi="Verdana" w:cs="Arial"/>
              </w:rPr>
            </w:pPr>
            <w:r w:rsidRPr="00DD76E3">
              <w:rPr>
                <w:rFonts w:ascii="Verdana" w:hAnsi="Verdana" w:cs="Arial"/>
              </w:rPr>
              <w:t>Supporting documentation and evidence should include:</w:t>
            </w:r>
          </w:p>
          <w:p w14:paraId="1CE8C2BB" w14:textId="77777777" w:rsidR="006432F3" w:rsidRPr="00DD76E3" w:rsidRDefault="006432F3" w:rsidP="006432F3">
            <w:pPr>
              <w:rPr>
                <w:rFonts w:ascii="Verdana" w:hAnsi="Verdana" w:cs="Arial"/>
              </w:rPr>
            </w:pPr>
          </w:p>
          <w:p w14:paraId="28834DDC" w14:textId="68EF2975" w:rsidR="006432F3" w:rsidRPr="00DD76E3" w:rsidRDefault="006432F3" w:rsidP="00DD76E3">
            <w:pPr>
              <w:pStyle w:val="ListParagraph"/>
              <w:numPr>
                <w:ilvl w:val="0"/>
                <w:numId w:val="20"/>
              </w:numPr>
              <w:rPr>
                <w:rFonts w:ascii="Verdana" w:hAnsi="Verdana" w:cs="Arial"/>
              </w:rPr>
            </w:pPr>
            <w:r w:rsidRPr="00DD76E3">
              <w:rPr>
                <w:rFonts w:ascii="Verdana" w:hAnsi="Verdana" w:cs="Arial"/>
              </w:rPr>
              <w:t>Evidence from the Police (Inspector</w:t>
            </w:r>
            <w:r w:rsidR="00A5073F">
              <w:rPr>
                <w:rFonts w:ascii="Verdana" w:hAnsi="Verdana" w:cs="Arial"/>
              </w:rPr>
              <w:t>, or a Sargeant with Inspectors approval</w:t>
            </w:r>
            <w:r w:rsidRPr="00DD76E3">
              <w:rPr>
                <w:rFonts w:ascii="Verdana" w:hAnsi="Verdana" w:cs="Arial"/>
              </w:rPr>
              <w:t>) which establishes that the tenant must move to reduce the risk to them and/or their permanent household members.</w:t>
            </w:r>
          </w:p>
          <w:p w14:paraId="504EC72A" w14:textId="77777777" w:rsidR="006432F3" w:rsidRPr="00DD76E3" w:rsidRDefault="006432F3" w:rsidP="006432F3">
            <w:pPr>
              <w:pStyle w:val="ListParagraph"/>
              <w:rPr>
                <w:rFonts w:ascii="Verdana" w:hAnsi="Verdana" w:cs="Arial"/>
              </w:rPr>
            </w:pPr>
          </w:p>
          <w:p w14:paraId="793B72B7" w14:textId="77777777" w:rsidR="006432F3" w:rsidRPr="00DD76E3" w:rsidRDefault="006432F3" w:rsidP="00DD76E3">
            <w:pPr>
              <w:pStyle w:val="ListParagraph"/>
              <w:numPr>
                <w:ilvl w:val="0"/>
                <w:numId w:val="20"/>
              </w:numPr>
              <w:rPr>
                <w:rFonts w:ascii="Verdana" w:hAnsi="Verdana" w:cs="Arial"/>
              </w:rPr>
            </w:pPr>
            <w:r w:rsidRPr="00DD76E3">
              <w:rPr>
                <w:rFonts w:ascii="Verdana" w:hAnsi="Verdana" w:cs="Arial"/>
              </w:rPr>
              <w:lastRenderedPageBreak/>
              <w:t>Additional evidence from a third professional body (Victim Support for example) are also required to confirm how a move to alternative accommodation will solve/alleviate the issues.</w:t>
            </w:r>
          </w:p>
          <w:p w14:paraId="78ACDC39" w14:textId="77777777" w:rsidR="006432F3" w:rsidRPr="00DD76E3" w:rsidRDefault="006432F3" w:rsidP="006432F3">
            <w:pPr>
              <w:rPr>
                <w:rFonts w:ascii="Verdana" w:hAnsi="Verdana" w:cs="Arial"/>
              </w:rPr>
            </w:pPr>
          </w:p>
          <w:p w14:paraId="1A897FC1" w14:textId="79CDA18F" w:rsidR="006432F3" w:rsidRDefault="006432F3" w:rsidP="006432F3">
            <w:pPr>
              <w:rPr>
                <w:rFonts w:ascii="Verdana" w:hAnsi="Verdana" w:cs="Arial"/>
              </w:rPr>
            </w:pPr>
            <w:r w:rsidRPr="00DD76E3">
              <w:rPr>
                <w:rFonts w:ascii="Verdana" w:hAnsi="Verdana" w:cs="Arial"/>
              </w:rPr>
              <w:t>In these cases, tenants will need to be assessed as being at significant risk of ongoing harm in their current property and/or locality and there are no other alternative remedies available to significantly reduce or eliminate the risk other than transferring to alterative accommodation.</w:t>
            </w:r>
            <w:r w:rsidR="00C8113F">
              <w:rPr>
                <w:rFonts w:ascii="Verdana" w:hAnsi="Verdana" w:cs="Arial"/>
              </w:rPr>
              <w:t xml:space="preserve"> </w:t>
            </w:r>
          </w:p>
          <w:p w14:paraId="4046223E" w14:textId="77777777" w:rsidR="008B7A05" w:rsidRPr="00DD76E3" w:rsidRDefault="008B7A05" w:rsidP="00161564">
            <w:pPr>
              <w:rPr>
                <w:rFonts w:ascii="Verdana" w:hAnsi="Verdana" w:cs="Arial"/>
              </w:rPr>
            </w:pPr>
          </w:p>
          <w:p w14:paraId="40B49456" w14:textId="77777777" w:rsidR="00F235BC" w:rsidRPr="00DD76E3" w:rsidRDefault="00F235BC" w:rsidP="00F235BC">
            <w:pPr>
              <w:rPr>
                <w:rFonts w:ascii="Verdana" w:hAnsi="Verdana" w:cs="Arial"/>
                <w:u w:val="single"/>
              </w:rPr>
            </w:pPr>
            <w:r w:rsidRPr="00DD76E3">
              <w:rPr>
                <w:rFonts w:ascii="Verdana" w:hAnsi="Verdana" w:cs="Arial"/>
                <w:u w:val="single"/>
              </w:rPr>
              <w:t>Property Condition – Category One Hazards</w:t>
            </w:r>
          </w:p>
          <w:p w14:paraId="6AAB7145" w14:textId="77777777" w:rsidR="00F235BC" w:rsidRPr="00DD76E3" w:rsidRDefault="00F235BC" w:rsidP="00F235BC">
            <w:pPr>
              <w:rPr>
                <w:rFonts w:ascii="Verdana" w:hAnsi="Verdana" w:cs="Arial"/>
                <w:u w:val="single"/>
              </w:rPr>
            </w:pPr>
          </w:p>
          <w:p w14:paraId="4E254F97" w14:textId="77777777" w:rsidR="00F235BC" w:rsidRPr="00DD76E3" w:rsidRDefault="00F235BC" w:rsidP="00F235BC">
            <w:pPr>
              <w:rPr>
                <w:rFonts w:ascii="Verdana" w:hAnsi="Verdana" w:cs="Arial"/>
              </w:rPr>
            </w:pPr>
            <w:r w:rsidRPr="00DD76E3">
              <w:rPr>
                <w:rFonts w:ascii="Verdana" w:hAnsi="Verdana" w:cs="Arial"/>
              </w:rPr>
              <w:t>The Housing Health and Safety Rating System (HHSRS) stipulates 29 potential hazards in the home which, when assessed alongside the likelihood of an incident occurring and how serious the outcome could be should the worst For any cases of overcrowding, we will signpost to the Local Authorities Choice Based Lettings Team and promote mutual exchange. Should we be aware of any severe cases of overcrowding, we will assess using the HHSRS and where it is determined that this is causing a Category 1 hazard, we will consider a Management Move application.</w:t>
            </w:r>
          </w:p>
          <w:p w14:paraId="086B2070" w14:textId="77777777" w:rsidR="00F235BC" w:rsidRPr="00544D82" w:rsidRDefault="00F235BC" w:rsidP="00544D82">
            <w:pPr>
              <w:rPr>
                <w:rFonts w:ascii="Verdana" w:hAnsi="Verdana" w:cs="Arial"/>
              </w:rPr>
            </w:pPr>
          </w:p>
          <w:p w14:paraId="10C80E3B" w14:textId="77777777" w:rsidR="00F235BC" w:rsidRPr="00DD76E3" w:rsidRDefault="00F235BC" w:rsidP="00F235BC">
            <w:pPr>
              <w:rPr>
                <w:rFonts w:ascii="Verdana" w:hAnsi="Verdana" w:cs="Arial"/>
              </w:rPr>
            </w:pPr>
            <w:r w:rsidRPr="00DD76E3">
              <w:rPr>
                <w:rFonts w:ascii="Verdana" w:hAnsi="Verdana" w:cs="Arial"/>
              </w:rPr>
              <w:t xml:space="preserve">Where a tenant is being considered for a Management Move due to HHSRS and/or Cat1 Hazards, all evidence must be given to the case officer by the Local Authorities Capital Projects and Property Services Team as soon as possible – including photographs, referral forms, inspection forms, and evidence of conversations had with the tenant(s) involved. </w:t>
            </w:r>
          </w:p>
          <w:p w14:paraId="65D6A0FB" w14:textId="77777777" w:rsidR="00F235BC" w:rsidRPr="00DD76E3" w:rsidRDefault="00F235BC" w:rsidP="00F235BC">
            <w:pPr>
              <w:rPr>
                <w:rFonts w:ascii="Verdana" w:hAnsi="Verdana" w:cs="Arial"/>
                <w:u w:val="single"/>
              </w:rPr>
            </w:pPr>
          </w:p>
          <w:p w14:paraId="75EABC2F" w14:textId="77777777" w:rsidR="00F235BC" w:rsidRPr="00DD76E3" w:rsidRDefault="00F235BC" w:rsidP="00F235BC">
            <w:pPr>
              <w:rPr>
                <w:rFonts w:ascii="Verdana" w:hAnsi="Verdana" w:cs="Arial"/>
                <w:u w:val="single"/>
              </w:rPr>
            </w:pPr>
            <w:r w:rsidRPr="00DD76E3">
              <w:rPr>
                <w:rFonts w:ascii="Verdana" w:hAnsi="Verdana" w:cs="Arial"/>
                <w:u w:val="single"/>
              </w:rPr>
              <w:t>Medical or Welfare Need</w:t>
            </w:r>
          </w:p>
          <w:p w14:paraId="494252B5" w14:textId="77777777" w:rsidR="00F235BC" w:rsidRPr="00DD76E3" w:rsidRDefault="00F235BC" w:rsidP="00F235BC">
            <w:pPr>
              <w:rPr>
                <w:rFonts w:ascii="Verdana" w:hAnsi="Verdana" w:cs="Arial"/>
                <w:u w:val="single"/>
              </w:rPr>
            </w:pPr>
          </w:p>
          <w:p w14:paraId="106BB882" w14:textId="77777777" w:rsidR="00F235BC" w:rsidRPr="00DD76E3" w:rsidRDefault="00F235BC" w:rsidP="00F235BC">
            <w:pPr>
              <w:rPr>
                <w:rFonts w:ascii="Verdana" w:hAnsi="Verdana" w:cs="Arial"/>
              </w:rPr>
            </w:pPr>
            <w:r w:rsidRPr="00DD76E3">
              <w:rPr>
                <w:rFonts w:ascii="Verdana" w:hAnsi="Verdana" w:cs="Arial"/>
              </w:rPr>
              <w:t>Where there is an urgent medical, disability or welfare need which means that the tenant cannot access or continue to occupy their current property, we will consider if remaining in the property would endanger their life. Examples of this include trauma, a life changing accident, a medical condition requiring specialist equipment that there is insufficient space for in the current property.</w:t>
            </w:r>
          </w:p>
          <w:p w14:paraId="0F920309" w14:textId="77777777" w:rsidR="00F235BC" w:rsidRPr="00DD76E3" w:rsidRDefault="00F235BC" w:rsidP="00F235BC">
            <w:pPr>
              <w:rPr>
                <w:rFonts w:ascii="Verdana" w:hAnsi="Verdana" w:cs="Arial"/>
              </w:rPr>
            </w:pPr>
          </w:p>
          <w:p w14:paraId="6F8B1F66" w14:textId="77777777" w:rsidR="00F235BC" w:rsidRPr="00DD76E3" w:rsidRDefault="00F235BC" w:rsidP="00F235BC">
            <w:pPr>
              <w:rPr>
                <w:rFonts w:ascii="Verdana" w:hAnsi="Verdana" w:cs="Arial"/>
              </w:rPr>
            </w:pPr>
            <w:r w:rsidRPr="00DD76E3">
              <w:rPr>
                <w:rFonts w:ascii="Verdana" w:hAnsi="Verdana" w:cs="Arial"/>
              </w:rPr>
              <w:t>Supporting documentation and evidence should include:</w:t>
            </w:r>
          </w:p>
          <w:p w14:paraId="47406F8F" w14:textId="77777777" w:rsidR="00F235BC" w:rsidRPr="00DD76E3" w:rsidRDefault="00F235BC" w:rsidP="00F235BC">
            <w:pPr>
              <w:rPr>
                <w:rFonts w:ascii="Verdana" w:hAnsi="Verdana" w:cs="Arial"/>
              </w:rPr>
            </w:pPr>
          </w:p>
          <w:p w14:paraId="0E04A32F" w14:textId="77777777" w:rsidR="00F235BC" w:rsidRPr="00DD76E3" w:rsidRDefault="00F235BC" w:rsidP="00DD76E3">
            <w:pPr>
              <w:pStyle w:val="ListParagraph"/>
              <w:numPr>
                <w:ilvl w:val="0"/>
                <w:numId w:val="20"/>
              </w:numPr>
              <w:rPr>
                <w:rFonts w:ascii="Verdana" w:hAnsi="Verdana" w:cs="Arial"/>
              </w:rPr>
            </w:pPr>
            <w:r w:rsidRPr="00DD76E3">
              <w:rPr>
                <w:rFonts w:ascii="Verdana" w:hAnsi="Verdana" w:cs="Arial"/>
              </w:rPr>
              <w:t>Confirmation of any diagnoses, medication, medical history and treatments by medical professionals</w:t>
            </w:r>
          </w:p>
          <w:p w14:paraId="62F4FA91" w14:textId="77777777" w:rsidR="00F235BC" w:rsidRPr="00DD76E3" w:rsidRDefault="00F235BC" w:rsidP="00F235BC">
            <w:pPr>
              <w:pStyle w:val="ListParagraph"/>
              <w:rPr>
                <w:rFonts w:ascii="Verdana" w:hAnsi="Verdana" w:cs="Arial"/>
              </w:rPr>
            </w:pPr>
          </w:p>
          <w:p w14:paraId="6B3D8B3A" w14:textId="77777777" w:rsidR="00F235BC" w:rsidRPr="00DD76E3" w:rsidRDefault="00F235BC" w:rsidP="00DD76E3">
            <w:pPr>
              <w:pStyle w:val="ListParagraph"/>
              <w:numPr>
                <w:ilvl w:val="0"/>
                <w:numId w:val="20"/>
              </w:numPr>
              <w:rPr>
                <w:rFonts w:ascii="Verdana" w:hAnsi="Verdana" w:cs="Arial"/>
              </w:rPr>
            </w:pPr>
            <w:r w:rsidRPr="00DD76E3">
              <w:rPr>
                <w:rFonts w:ascii="Verdana" w:hAnsi="Verdana" w:cs="Arial"/>
              </w:rPr>
              <w:t>An assessment provided by an Occupational Therapist to determine what accommodation is required</w:t>
            </w:r>
          </w:p>
          <w:p w14:paraId="33132842" w14:textId="77777777" w:rsidR="00F235BC" w:rsidRPr="00DD76E3" w:rsidRDefault="00F235BC" w:rsidP="00F235BC">
            <w:pPr>
              <w:pStyle w:val="ListParagraph"/>
              <w:rPr>
                <w:rFonts w:ascii="Verdana" w:hAnsi="Verdana" w:cs="Arial"/>
              </w:rPr>
            </w:pPr>
          </w:p>
          <w:p w14:paraId="2EA2E139" w14:textId="1F22DDB5" w:rsidR="00DD76E3" w:rsidRPr="00DD76E3" w:rsidRDefault="00F235BC" w:rsidP="00DD76E3">
            <w:pPr>
              <w:pStyle w:val="ListParagraph"/>
              <w:numPr>
                <w:ilvl w:val="0"/>
                <w:numId w:val="20"/>
              </w:numPr>
              <w:rPr>
                <w:rFonts w:ascii="Verdana" w:hAnsi="Verdana" w:cs="Arial"/>
              </w:rPr>
            </w:pPr>
            <w:r w:rsidRPr="00DD76E3">
              <w:rPr>
                <w:rFonts w:ascii="Verdana" w:hAnsi="Verdana" w:cs="Arial"/>
              </w:rPr>
              <w:t>Partnership working with agencies, where there are physical or mental health needs, is key to successfully considering a managed move and support needs for customers.</w:t>
            </w:r>
          </w:p>
          <w:p w14:paraId="2AB5DFC4" w14:textId="77777777" w:rsidR="00DD76E3" w:rsidRPr="00DD76E3" w:rsidRDefault="00DD76E3" w:rsidP="00DD76E3">
            <w:pPr>
              <w:pStyle w:val="ListParagraph"/>
              <w:rPr>
                <w:rFonts w:ascii="Verdana" w:hAnsi="Verdana" w:cs="Arial"/>
              </w:rPr>
            </w:pPr>
          </w:p>
          <w:p w14:paraId="75E34408" w14:textId="7CD13540" w:rsidR="00DD76E3" w:rsidRPr="00DD76E3" w:rsidRDefault="00DD76E3" w:rsidP="00DD76E3">
            <w:pPr>
              <w:pStyle w:val="ListParagraph"/>
              <w:numPr>
                <w:ilvl w:val="0"/>
                <w:numId w:val="20"/>
              </w:numPr>
              <w:rPr>
                <w:rFonts w:ascii="Verdana" w:hAnsi="Verdana" w:cs="Arial"/>
              </w:rPr>
            </w:pPr>
            <w:r w:rsidRPr="00DD76E3">
              <w:rPr>
                <w:rFonts w:ascii="Verdana" w:hAnsi="Verdana" w:cs="Arial"/>
              </w:rPr>
              <w:t xml:space="preserve">If a Management Move is necessary for these reasons, the Landlord Services Team will complete a consultation with other residents that may be affected to ensure their properties are habitable. </w:t>
            </w:r>
          </w:p>
          <w:p w14:paraId="23A1EE58" w14:textId="77777777" w:rsidR="006432F3" w:rsidRPr="00DD76E3" w:rsidRDefault="006432F3" w:rsidP="00161564">
            <w:pPr>
              <w:rPr>
                <w:rFonts w:ascii="Verdana" w:hAnsi="Verdana" w:cs="Arial"/>
              </w:rPr>
            </w:pPr>
          </w:p>
        </w:tc>
      </w:tr>
      <w:tr w:rsidR="00CD6D07" w14:paraId="6E265FD9" w14:textId="77777777" w:rsidTr="00DA5066">
        <w:tc>
          <w:tcPr>
            <w:tcW w:w="796" w:type="dxa"/>
          </w:tcPr>
          <w:p w14:paraId="192B42E6" w14:textId="293FBB8D" w:rsidR="00CD6D07" w:rsidRPr="00D052FB" w:rsidRDefault="00CD6D07" w:rsidP="00161564">
            <w:pPr>
              <w:rPr>
                <w:rFonts w:ascii="Verdana" w:hAnsi="Verdana" w:cs="Arial"/>
                <w:b/>
                <w:bCs/>
                <w:color w:val="385623" w:themeColor="accent6" w:themeShade="80"/>
                <w:sz w:val="24"/>
                <w:szCs w:val="24"/>
              </w:rPr>
            </w:pPr>
            <w:r w:rsidRPr="00D052FB">
              <w:rPr>
                <w:rFonts w:ascii="Verdana" w:hAnsi="Verdana" w:cs="Arial"/>
                <w:b/>
                <w:bCs/>
                <w:color w:val="385623" w:themeColor="accent6" w:themeShade="80"/>
                <w:sz w:val="24"/>
                <w:szCs w:val="24"/>
              </w:rPr>
              <w:lastRenderedPageBreak/>
              <w:t>10</w:t>
            </w:r>
            <w:r w:rsidR="00D052FB" w:rsidRPr="00D052FB">
              <w:rPr>
                <w:rFonts w:ascii="Verdana" w:hAnsi="Verdana" w:cs="Arial"/>
                <w:b/>
                <w:bCs/>
                <w:color w:val="385623" w:themeColor="accent6" w:themeShade="80"/>
                <w:sz w:val="24"/>
                <w:szCs w:val="24"/>
              </w:rPr>
              <w:t>.</w:t>
            </w:r>
          </w:p>
        </w:tc>
        <w:tc>
          <w:tcPr>
            <w:tcW w:w="8554" w:type="dxa"/>
          </w:tcPr>
          <w:p w14:paraId="2BB2319F" w14:textId="73D293D1" w:rsidR="00CD6D07" w:rsidRPr="00D052FB" w:rsidRDefault="00D052FB" w:rsidP="006432F3">
            <w:pPr>
              <w:rPr>
                <w:rFonts w:ascii="Verdana" w:hAnsi="Verdana" w:cs="Arial"/>
                <w:b/>
                <w:bCs/>
                <w:color w:val="385623" w:themeColor="accent6" w:themeShade="80"/>
                <w:sz w:val="24"/>
                <w:szCs w:val="24"/>
              </w:rPr>
            </w:pPr>
            <w:r w:rsidRPr="00D052FB">
              <w:rPr>
                <w:rFonts w:ascii="Verdana" w:hAnsi="Verdana" w:cs="Arial"/>
                <w:b/>
                <w:bCs/>
                <w:color w:val="385623" w:themeColor="accent6" w:themeShade="80"/>
                <w:sz w:val="24"/>
                <w:szCs w:val="24"/>
              </w:rPr>
              <w:t>Partnership Working</w:t>
            </w:r>
          </w:p>
        </w:tc>
      </w:tr>
      <w:tr w:rsidR="00CD6D07" w14:paraId="1461902E" w14:textId="77777777" w:rsidTr="00DA5066">
        <w:tc>
          <w:tcPr>
            <w:tcW w:w="796" w:type="dxa"/>
          </w:tcPr>
          <w:p w14:paraId="383AF818" w14:textId="0D6F4903" w:rsidR="00CD6D07" w:rsidRPr="00DD76E3" w:rsidRDefault="008A3B0A" w:rsidP="00161564">
            <w:pPr>
              <w:rPr>
                <w:rFonts w:ascii="Verdana" w:hAnsi="Verdana" w:cs="Arial"/>
              </w:rPr>
            </w:pPr>
            <w:r>
              <w:rPr>
                <w:rFonts w:ascii="Verdana" w:hAnsi="Verdana" w:cs="Arial"/>
              </w:rPr>
              <w:t>10.1.</w:t>
            </w:r>
          </w:p>
        </w:tc>
        <w:tc>
          <w:tcPr>
            <w:tcW w:w="8554" w:type="dxa"/>
          </w:tcPr>
          <w:p w14:paraId="7FACDDE5" w14:textId="77777777" w:rsidR="00263B45" w:rsidRPr="008A3B0A" w:rsidRDefault="00263B45" w:rsidP="00263B45">
            <w:pPr>
              <w:rPr>
                <w:rFonts w:ascii="Verdana" w:hAnsi="Verdana" w:cs="Arial"/>
              </w:rPr>
            </w:pPr>
            <w:r w:rsidRPr="008A3B0A">
              <w:rPr>
                <w:rFonts w:ascii="Verdana" w:hAnsi="Verdana" w:cs="Arial"/>
              </w:rPr>
              <w:t>Where possible, we will work with other agencies to combine resources and take a partnership approach to find a suitable solution for our tenants, including gathering all evidence. Examples of our partner agencies include, but are not limited to:</w:t>
            </w:r>
          </w:p>
          <w:p w14:paraId="25C9A6E9" w14:textId="77777777" w:rsidR="00263B45" w:rsidRPr="008A3B0A" w:rsidRDefault="00263B45" w:rsidP="00263B45">
            <w:pPr>
              <w:rPr>
                <w:rFonts w:ascii="Verdana" w:hAnsi="Verdana" w:cs="Arial"/>
              </w:rPr>
            </w:pPr>
          </w:p>
          <w:p w14:paraId="4414F0EA" w14:textId="77777777" w:rsidR="00263B45" w:rsidRPr="008A3B0A" w:rsidRDefault="00263B45" w:rsidP="00263B45">
            <w:pPr>
              <w:pStyle w:val="ListParagraph"/>
              <w:numPr>
                <w:ilvl w:val="0"/>
                <w:numId w:val="22"/>
              </w:numPr>
              <w:rPr>
                <w:rFonts w:ascii="Verdana" w:eastAsia="Times New Roman" w:hAnsi="Verdana" w:cs="Arial"/>
              </w:rPr>
            </w:pPr>
            <w:r w:rsidRPr="008A3B0A">
              <w:rPr>
                <w:rFonts w:ascii="Verdana" w:eastAsia="Times New Roman" w:hAnsi="Verdana" w:cs="Arial"/>
              </w:rPr>
              <w:t>Warwickshire Police</w:t>
            </w:r>
          </w:p>
          <w:p w14:paraId="726B2AA7" w14:textId="77777777" w:rsidR="00263B45" w:rsidRPr="008A3B0A" w:rsidRDefault="00263B45" w:rsidP="00263B45">
            <w:pPr>
              <w:pStyle w:val="ListParagraph"/>
              <w:numPr>
                <w:ilvl w:val="0"/>
                <w:numId w:val="22"/>
              </w:numPr>
              <w:rPr>
                <w:rFonts w:ascii="Verdana" w:eastAsia="Times New Roman" w:hAnsi="Verdana" w:cs="Arial"/>
              </w:rPr>
            </w:pPr>
            <w:r w:rsidRPr="008A3B0A">
              <w:rPr>
                <w:rFonts w:ascii="Verdana" w:eastAsia="Times New Roman" w:hAnsi="Verdana" w:cs="Arial"/>
              </w:rPr>
              <w:t xml:space="preserve">Warwickshire Fire &amp; Rescue Service </w:t>
            </w:r>
          </w:p>
          <w:p w14:paraId="14504D38" w14:textId="77777777" w:rsidR="00263B45" w:rsidRPr="008A3B0A" w:rsidRDefault="00263B45" w:rsidP="00263B45">
            <w:pPr>
              <w:pStyle w:val="ListParagraph"/>
              <w:numPr>
                <w:ilvl w:val="0"/>
                <w:numId w:val="22"/>
              </w:numPr>
              <w:rPr>
                <w:rFonts w:ascii="Verdana" w:eastAsia="Times New Roman" w:hAnsi="Verdana" w:cs="Arial"/>
              </w:rPr>
            </w:pPr>
            <w:r w:rsidRPr="008A3B0A">
              <w:rPr>
                <w:rFonts w:ascii="Verdana" w:eastAsia="Times New Roman" w:hAnsi="Verdana" w:cs="Arial"/>
              </w:rPr>
              <w:t>MARAC</w:t>
            </w:r>
          </w:p>
          <w:p w14:paraId="67AF1D41" w14:textId="77777777" w:rsidR="00263B45" w:rsidRPr="008A3B0A" w:rsidRDefault="00263B45" w:rsidP="00263B45">
            <w:pPr>
              <w:pStyle w:val="ListParagraph"/>
              <w:numPr>
                <w:ilvl w:val="0"/>
                <w:numId w:val="22"/>
              </w:numPr>
              <w:rPr>
                <w:rFonts w:ascii="Verdana" w:eastAsia="Times New Roman" w:hAnsi="Verdana" w:cs="Arial"/>
              </w:rPr>
            </w:pPr>
            <w:r w:rsidRPr="008A3B0A">
              <w:rPr>
                <w:rFonts w:ascii="Verdana" w:eastAsia="Times New Roman" w:hAnsi="Verdana" w:cs="Arial"/>
              </w:rPr>
              <w:t>Warwickshire County Council and other relevant Local Authorities departments (including Environmental Health, Children and Adult Services, Housing and Education)</w:t>
            </w:r>
          </w:p>
          <w:p w14:paraId="4402447E" w14:textId="77777777" w:rsidR="00263B45" w:rsidRPr="008A3B0A" w:rsidRDefault="00263B45" w:rsidP="00263B45">
            <w:pPr>
              <w:pStyle w:val="ListParagraph"/>
              <w:numPr>
                <w:ilvl w:val="0"/>
                <w:numId w:val="22"/>
              </w:numPr>
              <w:rPr>
                <w:rFonts w:ascii="Verdana" w:eastAsia="Times New Roman" w:hAnsi="Verdana" w:cs="Arial"/>
              </w:rPr>
            </w:pPr>
            <w:r w:rsidRPr="008A3B0A">
              <w:rPr>
                <w:rFonts w:ascii="Verdana" w:eastAsia="Times New Roman" w:hAnsi="Verdana" w:cs="Arial"/>
              </w:rPr>
              <w:t>Probation Service</w:t>
            </w:r>
          </w:p>
          <w:p w14:paraId="260A759C" w14:textId="77777777" w:rsidR="00263B45" w:rsidRPr="008A3B0A" w:rsidRDefault="00263B45" w:rsidP="00263B45">
            <w:pPr>
              <w:pStyle w:val="ListParagraph"/>
              <w:numPr>
                <w:ilvl w:val="0"/>
                <w:numId w:val="22"/>
              </w:numPr>
              <w:rPr>
                <w:rFonts w:ascii="Verdana" w:eastAsia="Times New Roman" w:hAnsi="Verdana" w:cs="Arial"/>
              </w:rPr>
            </w:pPr>
            <w:r w:rsidRPr="008A3B0A">
              <w:rPr>
                <w:rFonts w:ascii="Verdana" w:eastAsia="Times New Roman" w:hAnsi="Verdana" w:cs="Arial"/>
              </w:rPr>
              <w:t>Youth Justice</w:t>
            </w:r>
          </w:p>
          <w:p w14:paraId="7A4EA15C" w14:textId="77777777" w:rsidR="00263B45" w:rsidRPr="008A3B0A" w:rsidRDefault="00263B45" w:rsidP="00263B45">
            <w:pPr>
              <w:pStyle w:val="ListParagraph"/>
              <w:numPr>
                <w:ilvl w:val="0"/>
                <w:numId w:val="22"/>
              </w:numPr>
              <w:rPr>
                <w:rFonts w:ascii="Verdana" w:eastAsia="Times New Roman" w:hAnsi="Verdana" w:cs="Arial"/>
              </w:rPr>
            </w:pPr>
            <w:r w:rsidRPr="008A3B0A">
              <w:rPr>
                <w:rFonts w:ascii="Verdana" w:eastAsia="Times New Roman" w:hAnsi="Verdana" w:cs="Arial"/>
              </w:rPr>
              <w:t xml:space="preserve">Refuge and other domestic abuse support services </w:t>
            </w:r>
          </w:p>
          <w:p w14:paraId="35912F66" w14:textId="77777777" w:rsidR="00263B45" w:rsidRPr="008A3B0A" w:rsidRDefault="00263B45" w:rsidP="00263B45">
            <w:pPr>
              <w:pStyle w:val="ListParagraph"/>
              <w:numPr>
                <w:ilvl w:val="0"/>
                <w:numId w:val="22"/>
              </w:numPr>
              <w:rPr>
                <w:rFonts w:ascii="Verdana" w:eastAsia="Times New Roman" w:hAnsi="Verdana" w:cs="Arial"/>
              </w:rPr>
            </w:pPr>
            <w:r w:rsidRPr="008A3B0A">
              <w:rPr>
                <w:rFonts w:ascii="Verdana" w:eastAsia="Times New Roman" w:hAnsi="Verdana" w:cs="Arial"/>
              </w:rPr>
              <w:t>Substance misuse support services</w:t>
            </w:r>
          </w:p>
          <w:p w14:paraId="1DD421F7" w14:textId="77777777" w:rsidR="00263B45" w:rsidRPr="008A3B0A" w:rsidRDefault="00263B45" w:rsidP="00263B45">
            <w:pPr>
              <w:pStyle w:val="ListParagraph"/>
              <w:numPr>
                <w:ilvl w:val="0"/>
                <w:numId w:val="22"/>
              </w:numPr>
              <w:rPr>
                <w:rFonts w:ascii="Verdana" w:eastAsia="Times New Roman" w:hAnsi="Verdana" w:cs="Arial"/>
              </w:rPr>
            </w:pPr>
            <w:r w:rsidRPr="008A3B0A">
              <w:rPr>
                <w:rFonts w:ascii="Verdana" w:eastAsia="Times New Roman" w:hAnsi="Verdana" w:cs="Arial"/>
              </w:rPr>
              <w:t>Warwickshire Modern Day Slavery Network</w:t>
            </w:r>
          </w:p>
          <w:p w14:paraId="494C6F95" w14:textId="77777777" w:rsidR="00CD6D07" w:rsidRPr="008A3B0A" w:rsidRDefault="00CD6D07" w:rsidP="006432F3">
            <w:pPr>
              <w:rPr>
                <w:rFonts w:ascii="Verdana" w:hAnsi="Verdana" w:cs="Arial"/>
              </w:rPr>
            </w:pPr>
          </w:p>
        </w:tc>
      </w:tr>
      <w:tr w:rsidR="00CD6D07" w14:paraId="5FFD88C1" w14:textId="77777777" w:rsidTr="00DA5066">
        <w:tc>
          <w:tcPr>
            <w:tcW w:w="796" w:type="dxa"/>
          </w:tcPr>
          <w:p w14:paraId="72C2199A" w14:textId="0CBEE347" w:rsidR="00CD6D07" w:rsidRPr="00DD76E3" w:rsidRDefault="00263B45" w:rsidP="00161564">
            <w:pPr>
              <w:rPr>
                <w:rFonts w:ascii="Verdana" w:hAnsi="Verdana" w:cs="Arial"/>
              </w:rPr>
            </w:pPr>
            <w:r>
              <w:rPr>
                <w:rFonts w:ascii="Verdana" w:hAnsi="Verdana" w:cs="Arial"/>
              </w:rPr>
              <w:t>10.</w:t>
            </w:r>
            <w:r w:rsidR="008A3B0A">
              <w:rPr>
                <w:rFonts w:ascii="Verdana" w:hAnsi="Verdana" w:cs="Arial"/>
              </w:rPr>
              <w:t>2</w:t>
            </w:r>
            <w:r>
              <w:rPr>
                <w:rFonts w:ascii="Verdana" w:hAnsi="Verdana" w:cs="Arial"/>
              </w:rPr>
              <w:t>.</w:t>
            </w:r>
          </w:p>
        </w:tc>
        <w:tc>
          <w:tcPr>
            <w:tcW w:w="8554" w:type="dxa"/>
          </w:tcPr>
          <w:p w14:paraId="1221C8F4" w14:textId="77777777" w:rsidR="008A3B0A" w:rsidRPr="008A3B0A" w:rsidRDefault="008A3B0A" w:rsidP="008A3B0A">
            <w:pPr>
              <w:rPr>
                <w:rFonts w:ascii="Verdana" w:hAnsi="Verdana" w:cs="Arial"/>
              </w:rPr>
            </w:pPr>
            <w:r w:rsidRPr="008A3B0A">
              <w:rPr>
                <w:rFonts w:ascii="Verdana" w:hAnsi="Verdana" w:cs="Arial"/>
              </w:rPr>
              <w:t>Where an agency such as the Police refer a tenant to us for assistance for a Management Move, the assigned Anti-Social Behaviour Officer for the area will contact the tenant(s) directly for further information and to start an investigation and consider whether the tenant and their permanent household members require temporary accommodation via the Decant Policy.</w:t>
            </w:r>
          </w:p>
          <w:p w14:paraId="1B5D2913" w14:textId="77777777" w:rsidR="00CD6D07" w:rsidRPr="008A3B0A" w:rsidRDefault="00CD6D07" w:rsidP="006432F3">
            <w:pPr>
              <w:rPr>
                <w:rFonts w:ascii="Verdana" w:hAnsi="Verdana" w:cs="Arial"/>
              </w:rPr>
            </w:pPr>
          </w:p>
        </w:tc>
      </w:tr>
      <w:tr w:rsidR="008A3B0A" w14:paraId="5A8BE84B" w14:textId="77777777" w:rsidTr="00DA5066">
        <w:tc>
          <w:tcPr>
            <w:tcW w:w="796" w:type="dxa"/>
          </w:tcPr>
          <w:p w14:paraId="4BA3FA71" w14:textId="7595732D" w:rsidR="008A3B0A" w:rsidRPr="008A3B0A" w:rsidRDefault="008A3B0A" w:rsidP="00161564">
            <w:pPr>
              <w:rPr>
                <w:rFonts w:ascii="Verdana" w:hAnsi="Verdana" w:cs="Arial"/>
                <w:b/>
                <w:bCs/>
                <w:color w:val="385623" w:themeColor="accent6" w:themeShade="80"/>
                <w:sz w:val="24"/>
                <w:szCs w:val="24"/>
              </w:rPr>
            </w:pPr>
            <w:r w:rsidRPr="008A3B0A">
              <w:rPr>
                <w:rFonts w:ascii="Verdana" w:hAnsi="Verdana" w:cs="Arial"/>
                <w:b/>
                <w:bCs/>
                <w:color w:val="385623" w:themeColor="accent6" w:themeShade="80"/>
                <w:sz w:val="24"/>
                <w:szCs w:val="24"/>
              </w:rPr>
              <w:t>11.</w:t>
            </w:r>
          </w:p>
        </w:tc>
        <w:tc>
          <w:tcPr>
            <w:tcW w:w="8554" w:type="dxa"/>
          </w:tcPr>
          <w:p w14:paraId="6CCB9E7C" w14:textId="646E468D" w:rsidR="008A3B0A" w:rsidRPr="008A3B0A" w:rsidRDefault="008A3B0A" w:rsidP="008A3B0A">
            <w:pPr>
              <w:rPr>
                <w:rFonts w:ascii="Verdana" w:hAnsi="Verdana" w:cs="Arial"/>
                <w:b/>
                <w:bCs/>
                <w:color w:val="385623" w:themeColor="accent6" w:themeShade="80"/>
                <w:sz w:val="24"/>
                <w:szCs w:val="24"/>
              </w:rPr>
            </w:pPr>
            <w:r w:rsidRPr="008A3B0A">
              <w:rPr>
                <w:rFonts w:ascii="Verdana" w:hAnsi="Verdana" w:cs="Arial"/>
                <w:b/>
                <w:bCs/>
                <w:color w:val="385623" w:themeColor="accent6" w:themeShade="80"/>
                <w:sz w:val="24"/>
                <w:szCs w:val="24"/>
              </w:rPr>
              <w:t>Panel Meetings</w:t>
            </w:r>
          </w:p>
        </w:tc>
      </w:tr>
      <w:tr w:rsidR="008A3B0A" w14:paraId="032AFE8A" w14:textId="77777777" w:rsidTr="00DA5066">
        <w:tc>
          <w:tcPr>
            <w:tcW w:w="796" w:type="dxa"/>
          </w:tcPr>
          <w:p w14:paraId="2714B455" w14:textId="53AC8CEE" w:rsidR="008A3B0A" w:rsidRDefault="008A3B0A" w:rsidP="00161564">
            <w:pPr>
              <w:rPr>
                <w:rFonts w:ascii="Verdana" w:hAnsi="Verdana" w:cs="Arial"/>
              </w:rPr>
            </w:pPr>
            <w:r>
              <w:rPr>
                <w:rFonts w:ascii="Verdana" w:hAnsi="Verdana" w:cs="Arial"/>
              </w:rPr>
              <w:t>11.1</w:t>
            </w:r>
          </w:p>
        </w:tc>
        <w:tc>
          <w:tcPr>
            <w:tcW w:w="8554" w:type="dxa"/>
          </w:tcPr>
          <w:p w14:paraId="23B5B506" w14:textId="7B7787E2" w:rsidR="008A3B0A" w:rsidRPr="003A52DE" w:rsidRDefault="00290607" w:rsidP="008A3B0A">
            <w:pPr>
              <w:rPr>
                <w:rFonts w:ascii="Verdana" w:hAnsi="Verdana" w:cs="Arial"/>
              </w:rPr>
            </w:pPr>
            <w:r w:rsidRPr="003A52DE">
              <w:rPr>
                <w:rFonts w:ascii="Verdana" w:hAnsi="Verdana" w:cs="Arial"/>
              </w:rPr>
              <w:t xml:space="preserve">The Landlord Services Manager; Housing Solutions Manager; Anti-Social Behaviour Team Leader; </w:t>
            </w:r>
            <w:r w:rsidR="00587E94">
              <w:rPr>
                <w:rFonts w:ascii="Verdana" w:hAnsi="Verdana" w:cs="Arial"/>
              </w:rPr>
              <w:t xml:space="preserve">Tenancy Management and Engagement Team Leader; </w:t>
            </w:r>
            <w:r w:rsidRPr="003A52DE">
              <w:rPr>
                <w:rFonts w:ascii="Verdana" w:hAnsi="Verdana" w:cs="Arial"/>
              </w:rPr>
              <w:t xml:space="preserve">Independent Living Team Leader; </w:t>
            </w:r>
            <w:r w:rsidR="00587E94">
              <w:rPr>
                <w:rFonts w:ascii="Verdana" w:hAnsi="Verdana" w:cs="Arial"/>
              </w:rPr>
              <w:t xml:space="preserve">Choice Based Lettings Team Leader; </w:t>
            </w:r>
            <w:r w:rsidRPr="003A52DE">
              <w:rPr>
                <w:rFonts w:ascii="Verdana" w:hAnsi="Verdana" w:cs="Arial"/>
              </w:rPr>
              <w:t>and Housing Solutions Team Leader have authority to make decisions on Management Move applications.</w:t>
            </w:r>
          </w:p>
          <w:p w14:paraId="6056F612" w14:textId="0A92160B" w:rsidR="00290607" w:rsidRPr="003A52DE" w:rsidRDefault="00290607" w:rsidP="008A3B0A">
            <w:pPr>
              <w:rPr>
                <w:rFonts w:ascii="Verdana" w:hAnsi="Verdana" w:cs="Arial"/>
              </w:rPr>
            </w:pPr>
          </w:p>
        </w:tc>
      </w:tr>
      <w:tr w:rsidR="008A3B0A" w14:paraId="11097713" w14:textId="77777777" w:rsidTr="00DA5066">
        <w:tc>
          <w:tcPr>
            <w:tcW w:w="796" w:type="dxa"/>
          </w:tcPr>
          <w:p w14:paraId="1E42F50B" w14:textId="5B8247A8" w:rsidR="008A3B0A" w:rsidRDefault="00290607" w:rsidP="00161564">
            <w:pPr>
              <w:rPr>
                <w:rFonts w:ascii="Verdana" w:hAnsi="Verdana" w:cs="Arial"/>
              </w:rPr>
            </w:pPr>
            <w:r>
              <w:rPr>
                <w:rFonts w:ascii="Verdana" w:hAnsi="Verdana" w:cs="Arial"/>
              </w:rPr>
              <w:t>11.2.</w:t>
            </w:r>
          </w:p>
        </w:tc>
        <w:tc>
          <w:tcPr>
            <w:tcW w:w="8554" w:type="dxa"/>
          </w:tcPr>
          <w:p w14:paraId="78DA32BB" w14:textId="77777777" w:rsidR="00307A37" w:rsidRPr="003A52DE" w:rsidRDefault="00307A37" w:rsidP="00307A37">
            <w:pPr>
              <w:rPr>
                <w:rFonts w:ascii="Verdana" w:hAnsi="Verdana" w:cs="Arial"/>
              </w:rPr>
            </w:pPr>
            <w:r w:rsidRPr="003A52DE">
              <w:rPr>
                <w:rFonts w:ascii="Verdana" w:hAnsi="Verdana" w:cs="Arial"/>
              </w:rPr>
              <w:t xml:space="preserve">The panel meetings must take place within 14-days of the application being submitted and there must be at least 2 Managers/Team Leaders sitting on the panel. </w:t>
            </w:r>
          </w:p>
          <w:p w14:paraId="09BF7573" w14:textId="77777777" w:rsidR="008A3B0A" w:rsidRPr="003A52DE" w:rsidRDefault="008A3B0A" w:rsidP="008A3B0A">
            <w:pPr>
              <w:rPr>
                <w:rFonts w:ascii="Verdana" w:hAnsi="Verdana" w:cs="Arial"/>
              </w:rPr>
            </w:pPr>
          </w:p>
        </w:tc>
      </w:tr>
      <w:tr w:rsidR="008A3B0A" w14:paraId="1B1065AB" w14:textId="77777777" w:rsidTr="00DA5066">
        <w:tc>
          <w:tcPr>
            <w:tcW w:w="796" w:type="dxa"/>
          </w:tcPr>
          <w:p w14:paraId="48C2B752" w14:textId="344EF60E" w:rsidR="008A3B0A" w:rsidRDefault="00290607" w:rsidP="00161564">
            <w:pPr>
              <w:rPr>
                <w:rFonts w:ascii="Verdana" w:hAnsi="Verdana" w:cs="Arial"/>
              </w:rPr>
            </w:pPr>
            <w:r>
              <w:rPr>
                <w:rFonts w:ascii="Verdana" w:hAnsi="Verdana" w:cs="Arial"/>
              </w:rPr>
              <w:t>11.3.</w:t>
            </w:r>
          </w:p>
        </w:tc>
        <w:tc>
          <w:tcPr>
            <w:tcW w:w="8554" w:type="dxa"/>
          </w:tcPr>
          <w:p w14:paraId="383FC84E" w14:textId="77777777" w:rsidR="008A3B0A" w:rsidRPr="003A52DE" w:rsidRDefault="0012520B" w:rsidP="008A3B0A">
            <w:pPr>
              <w:rPr>
                <w:rFonts w:ascii="Verdana" w:hAnsi="Verdana" w:cs="Arial"/>
              </w:rPr>
            </w:pPr>
            <w:r w:rsidRPr="003A52DE">
              <w:rPr>
                <w:rFonts w:ascii="Verdana" w:hAnsi="Verdana" w:cs="Arial"/>
              </w:rPr>
              <w:t>The tenants do have the option to attend the panel meetings for their Management Move applications and bring a friend/representative/family member along if they wish to do so.</w:t>
            </w:r>
          </w:p>
          <w:p w14:paraId="70FFA957" w14:textId="526B8C3A" w:rsidR="0012520B" w:rsidRPr="003A52DE" w:rsidRDefault="0012520B" w:rsidP="008A3B0A">
            <w:pPr>
              <w:rPr>
                <w:rFonts w:ascii="Verdana" w:hAnsi="Verdana" w:cs="Arial"/>
              </w:rPr>
            </w:pPr>
          </w:p>
        </w:tc>
      </w:tr>
      <w:tr w:rsidR="008A3B0A" w14:paraId="6289836C" w14:textId="77777777" w:rsidTr="00DA5066">
        <w:tc>
          <w:tcPr>
            <w:tcW w:w="796" w:type="dxa"/>
          </w:tcPr>
          <w:p w14:paraId="18964ECD" w14:textId="5D34819C" w:rsidR="008A3B0A" w:rsidRDefault="00290607" w:rsidP="00161564">
            <w:pPr>
              <w:rPr>
                <w:rFonts w:ascii="Verdana" w:hAnsi="Verdana" w:cs="Arial"/>
              </w:rPr>
            </w:pPr>
            <w:r>
              <w:rPr>
                <w:rFonts w:ascii="Verdana" w:hAnsi="Verdana" w:cs="Arial"/>
              </w:rPr>
              <w:lastRenderedPageBreak/>
              <w:t>11.4.</w:t>
            </w:r>
          </w:p>
        </w:tc>
        <w:tc>
          <w:tcPr>
            <w:tcW w:w="8554" w:type="dxa"/>
          </w:tcPr>
          <w:p w14:paraId="4EFB6327" w14:textId="77777777" w:rsidR="008A3B0A" w:rsidRDefault="003A52DE" w:rsidP="008A3B0A">
            <w:pPr>
              <w:rPr>
                <w:rFonts w:ascii="Verdana" w:hAnsi="Verdana" w:cs="Arial"/>
              </w:rPr>
            </w:pPr>
            <w:r w:rsidRPr="003A52DE">
              <w:rPr>
                <w:rFonts w:ascii="Verdana" w:hAnsi="Verdana" w:cs="Arial"/>
              </w:rPr>
              <w:t xml:space="preserve">The case officer must confirm the date and time of the panel meeting with the tenant and a member of the panel will write to the tenant to confirm the decision within 5-working days of the meeting. </w:t>
            </w:r>
          </w:p>
          <w:p w14:paraId="5959BBE1" w14:textId="02C645C6" w:rsidR="00DF212B" w:rsidRPr="003A52DE" w:rsidRDefault="00DF212B" w:rsidP="008A3B0A">
            <w:pPr>
              <w:rPr>
                <w:rFonts w:ascii="Verdana" w:hAnsi="Verdana" w:cs="Arial"/>
              </w:rPr>
            </w:pPr>
          </w:p>
        </w:tc>
      </w:tr>
      <w:tr w:rsidR="00425F1D" w14:paraId="717190E0" w14:textId="77777777" w:rsidTr="00DA5066">
        <w:tc>
          <w:tcPr>
            <w:tcW w:w="796" w:type="dxa"/>
          </w:tcPr>
          <w:p w14:paraId="2510A3B7" w14:textId="2E22F9C1" w:rsidR="00425F1D" w:rsidRPr="00544D40" w:rsidRDefault="00DF212B"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12</w:t>
            </w:r>
            <w:r w:rsidR="00544D40" w:rsidRPr="00544D40">
              <w:rPr>
                <w:rFonts w:ascii="Verdana" w:hAnsi="Verdana" w:cs="Arial"/>
                <w:b/>
                <w:bCs/>
                <w:color w:val="385623" w:themeColor="accent6" w:themeShade="80"/>
                <w:sz w:val="24"/>
                <w:szCs w:val="24"/>
              </w:rPr>
              <w:t>.</w:t>
            </w:r>
          </w:p>
        </w:tc>
        <w:tc>
          <w:tcPr>
            <w:tcW w:w="8554" w:type="dxa"/>
          </w:tcPr>
          <w:p w14:paraId="0A657621" w14:textId="47A60A85" w:rsidR="00425F1D" w:rsidRPr="00544D40" w:rsidRDefault="00544D40"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Management Move Decisions</w:t>
            </w:r>
          </w:p>
        </w:tc>
      </w:tr>
      <w:tr w:rsidR="00425F1D" w14:paraId="74AD26B3" w14:textId="77777777" w:rsidTr="00DA5066">
        <w:tc>
          <w:tcPr>
            <w:tcW w:w="796" w:type="dxa"/>
          </w:tcPr>
          <w:p w14:paraId="798DB916" w14:textId="12758246" w:rsidR="00425F1D" w:rsidRDefault="00DF212B" w:rsidP="00161564">
            <w:pPr>
              <w:rPr>
                <w:rFonts w:ascii="Verdana" w:hAnsi="Verdana" w:cs="Arial"/>
              </w:rPr>
            </w:pPr>
            <w:r>
              <w:rPr>
                <w:rFonts w:ascii="Verdana" w:hAnsi="Verdana" w:cs="Arial"/>
              </w:rPr>
              <w:t>12.1.</w:t>
            </w:r>
          </w:p>
        </w:tc>
        <w:tc>
          <w:tcPr>
            <w:tcW w:w="8554" w:type="dxa"/>
          </w:tcPr>
          <w:p w14:paraId="4756900A" w14:textId="77777777" w:rsidR="00BD38F8" w:rsidRPr="00483B19" w:rsidRDefault="00BD38F8" w:rsidP="00BD38F8">
            <w:pPr>
              <w:rPr>
                <w:rFonts w:ascii="Verdana" w:hAnsi="Verdana" w:cs="Arial"/>
              </w:rPr>
            </w:pPr>
            <w:r w:rsidRPr="00483B19">
              <w:rPr>
                <w:rFonts w:ascii="Verdana" w:hAnsi="Verdana" w:cs="Arial"/>
              </w:rPr>
              <w:t>Once the Management Move Panel have made their decision, this will be communicated verbally and in writing to the tenant.</w:t>
            </w:r>
          </w:p>
          <w:p w14:paraId="4D0284CA" w14:textId="77777777" w:rsidR="00425F1D" w:rsidRPr="00483B19" w:rsidRDefault="00425F1D" w:rsidP="00161564">
            <w:pPr>
              <w:rPr>
                <w:rFonts w:ascii="Verdana" w:hAnsi="Verdana" w:cs="Arial"/>
              </w:rPr>
            </w:pPr>
          </w:p>
        </w:tc>
      </w:tr>
      <w:tr w:rsidR="00425F1D" w14:paraId="13E730DB" w14:textId="77777777" w:rsidTr="00DA5066">
        <w:tc>
          <w:tcPr>
            <w:tcW w:w="796" w:type="dxa"/>
          </w:tcPr>
          <w:p w14:paraId="3215582D" w14:textId="38247833" w:rsidR="00425F1D" w:rsidRDefault="00DF212B" w:rsidP="00161564">
            <w:pPr>
              <w:rPr>
                <w:rFonts w:ascii="Verdana" w:hAnsi="Verdana" w:cs="Arial"/>
              </w:rPr>
            </w:pPr>
            <w:r>
              <w:rPr>
                <w:rFonts w:ascii="Verdana" w:hAnsi="Verdana" w:cs="Arial"/>
              </w:rPr>
              <w:t>12.2.</w:t>
            </w:r>
          </w:p>
        </w:tc>
        <w:tc>
          <w:tcPr>
            <w:tcW w:w="8554" w:type="dxa"/>
          </w:tcPr>
          <w:p w14:paraId="69535288" w14:textId="77777777" w:rsidR="00483B19" w:rsidRPr="00483B19" w:rsidRDefault="00483B19" w:rsidP="00483B19">
            <w:pPr>
              <w:rPr>
                <w:rFonts w:ascii="Verdana" w:hAnsi="Verdana" w:cs="Arial"/>
                <w:u w:val="single"/>
              </w:rPr>
            </w:pPr>
            <w:r w:rsidRPr="00483B19">
              <w:rPr>
                <w:rFonts w:ascii="Verdana" w:hAnsi="Verdana" w:cs="Arial"/>
                <w:u w:val="single"/>
              </w:rPr>
              <w:t>Approved</w:t>
            </w:r>
          </w:p>
          <w:p w14:paraId="3C922265" w14:textId="77777777" w:rsidR="00483B19" w:rsidRPr="00483B19" w:rsidRDefault="00483B19" w:rsidP="00483B19">
            <w:pPr>
              <w:rPr>
                <w:rFonts w:ascii="Verdana" w:hAnsi="Verdana" w:cs="Arial"/>
                <w:u w:val="single"/>
              </w:rPr>
            </w:pPr>
          </w:p>
          <w:p w14:paraId="4D3E4140" w14:textId="77777777" w:rsidR="00483B19" w:rsidRPr="00483B19" w:rsidRDefault="00483B19" w:rsidP="00483B19">
            <w:pPr>
              <w:rPr>
                <w:rFonts w:ascii="Verdana" w:hAnsi="Verdana" w:cs="Arial"/>
              </w:rPr>
            </w:pPr>
            <w:r w:rsidRPr="00483B19">
              <w:rPr>
                <w:rFonts w:ascii="Verdana" w:hAnsi="Verdana" w:cs="Arial"/>
              </w:rPr>
              <w:t>Where Management Moves are approved, the following applies:</w:t>
            </w:r>
          </w:p>
          <w:p w14:paraId="685A15CE" w14:textId="77777777" w:rsidR="00483B19" w:rsidRPr="00483B19" w:rsidRDefault="00483B19" w:rsidP="00483B19">
            <w:pPr>
              <w:rPr>
                <w:rFonts w:ascii="Verdana" w:hAnsi="Verdana" w:cs="Arial"/>
              </w:rPr>
            </w:pPr>
          </w:p>
          <w:p w14:paraId="63036CB4" w14:textId="77777777" w:rsidR="00483B19" w:rsidRPr="00483B19" w:rsidRDefault="00483B19" w:rsidP="00483B19">
            <w:pPr>
              <w:pStyle w:val="ListParagraph"/>
              <w:numPr>
                <w:ilvl w:val="0"/>
                <w:numId w:val="21"/>
              </w:numPr>
              <w:rPr>
                <w:rFonts w:ascii="Verdana" w:hAnsi="Verdana" w:cs="Arial"/>
              </w:rPr>
            </w:pPr>
            <w:r w:rsidRPr="00483B19">
              <w:rPr>
                <w:rFonts w:ascii="Verdana" w:hAnsi="Verdana" w:cs="Arial"/>
              </w:rPr>
              <w:t>The type of accommodation that will be offered</w:t>
            </w:r>
          </w:p>
          <w:p w14:paraId="156E32AC" w14:textId="77777777" w:rsidR="00483B19" w:rsidRPr="00483B19" w:rsidRDefault="00483B19" w:rsidP="00483B19">
            <w:pPr>
              <w:pStyle w:val="ListParagraph"/>
              <w:numPr>
                <w:ilvl w:val="0"/>
                <w:numId w:val="21"/>
              </w:numPr>
              <w:rPr>
                <w:rFonts w:ascii="Verdana" w:hAnsi="Verdana" w:cs="Arial"/>
              </w:rPr>
            </w:pPr>
            <w:r w:rsidRPr="00483B19">
              <w:rPr>
                <w:rFonts w:ascii="Verdana" w:hAnsi="Verdana" w:cs="Arial"/>
              </w:rPr>
              <w:t>The elements of the property that are needed, e.g. level access bathing facilities, ground floor accommodation, wheelchair accessible accommodation</w:t>
            </w:r>
          </w:p>
          <w:p w14:paraId="3F9ABEEF" w14:textId="77777777" w:rsidR="00483B19" w:rsidRDefault="00483B19" w:rsidP="00483B19">
            <w:pPr>
              <w:pStyle w:val="ListParagraph"/>
              <w:numPr>
                <w:ilvl w:val="0"/>
                <w:numId w:val="21"/>
              </w:numPr>
              <w:rPr>
                <w:rFonts w:ascii="Verdana" w:hAnsi="Verdana" w:cs="Arial"/>
              </w:rPr>
            </w:pPr>
            <w:r w:rsidRPr="00483B19">
              <w:rPr>
                <w:rFonts w:ascii="Verdana" w:hAnsi="Verdana" w:cs="Arial"/>
              </w:rPr>
              <w:t>The localities in which accommodation will be offered in</w:t>
            </w:r>
          </w:p>
          <w:p w14:paraId="6024D19A" w14:textId="5F6BB661" w:rsidR="00F0721B" w:rsidRPr="00483B19" w:rsidRDefault="00F0721B" w:rsidP="00483B19">
            <w:pPr>
              <w:pStyle w:val="ListParagraph"/>
              <w:numPr>
                <w:ilvl w:val="0"/>
                <w:numId w:val="21"/>
              </w:numPr>
              <w:rPr>
                <w:rFonts w:ascii="Verdana" w:hAnsi="Verdana" w:cs="Arial"/>
              </w:rPr>
            </w:pPr>
            <w:r>
              <w:rPr>
                <w:rFonts w:ascii="Verdana" w:hAnsi="Verdana" w:cs="Arial"/>
              </w:rPr>
              <w:t>Rent arrears – where a tenant has rent arrears, the tenant must be made aware that all of their rent arrears</w:t>
            </w:r>
            <w:r w:rsidR="009F2AC2">
              <w:rPr>
                <w:rFonts w:ascii="Verdana" w:hAnsi="Verdana" w:cs="Arial"/>
              </w:rPr>
              <w:t xml:space="preserve"> (incl. court costs accounts etc) will be transferred over to their new tenancy agreement.</w:t>
            </w:r>
          </w:p>
          <w:p w14:paraId="2E9BB77C" w14:textId="77777777" w:rsidR="00483B19" w:rsidRPr="00483B19" w:rsidRDefault="00483B19" w:rsidP="00483B19">
            <w:pPr>
              <w:rPr>
                <w:rFonts w:ascii="Verdana" w:hAnsi="Verdana" w:cs="Arial"/>
                <w:u w:val="single"/>
              </w:rPr>
            </w:pPr>
          </w:p>
          <w:p w14:paraId="26DACFAA" w14:textId="77777777" w:rsidR="00483B19" w:rsidRPr="00483B19" w:rsidRDefault="00483B19" w:rsidP="00483B19">
            <w:pPr>
              <w:rPr>
                <w:rFonts w:ascii="Verdana" w:hAnsi="Verdana" w:cs="Arial"/>
                <w:u w:val="single"/>
              </w:rPr>
            </w:pPr>
            <w:r w:rsidRPr="00483B19">
              <w:rPr>
                <w:rFonts w:ascii="Verdana" w:hAnsi="Verdana" w:cs="Arial"/>
                <w:u w:val="single"/>
              </w:rPr>
              <w:t>Refused</w:t>
            </w:r>
          </w:p>
          <w:p w14:paraId="335D6867" w14:textId="77777777" w:rsidR="00483B19" w:rsidRPr="00483B19" w:rsidRDefault="00483B19" w:rsidP="00483B19">
            <w:pPr>
              <w:rPr>
                <w:rFonts w:ascii="Verdana" w:hAnsi="Verdana" w:cs="Arial"/>
                <w:u w:val="single"/>
              </w:rPr>
            </w:pPr>
          </w:p>
          <w:p w14:paraId="217B0160" w14:textId="77777777" w:rsidR="00483B19" w:rsidRPr="00483B19" w:rsidRDefault="00483B19" w:rsidP="00483B19">
            <w:pPr>
              <w:rPr>
                <w:rFonts w:ascii="Verdana" w:hAnsi="Verdana" w:cs="Arial"/>
              </w:rPr>
            </w:pPr>
            <w:r w:rsidRPr="00483B19">
              <w:rPr>
                <w:rFonts w:ascii="Verdana" w:hAnsi="Verdana" w:cs="Arial"/>
              </w:rPr>
              <w:t xml:space="preserve">Where a Management Move has been refused, reasons for this decision will be provided to the tenant. The tenant has a right of appeal if they are dissatisfied with this decision. </w:t>
            </w:r>
          </w:p>
          <w:p w14:paraId="77E47EF3" w14:textId="77777777" w:rsidR="00425F1D" w:rsidRPr="00483B19" w:rsidRDefault="00425F1D" w:rsidP="00161564">
            <w:pPr>
              <w:rPr>
                <w:rFonts w:ascii="Verdana" w:hAnsi="Verdana" w:cs="Arial"/>
              </w:rPr>
            </w:pPr>
          </w:p>
        </w:tc>
      </w:tr>
      <w:tr w:rsidR="00425F1D" w14:paraId="2A977969" w14:textId="77777777" w:rsidTr="00DA5066">
        <w:tc>
          <w:tcPr>
            <w:tcW w:w="796" w:type="dxa"/>
          </w:tcPr>
          <w:p w14:paraId="216FD705" w14:textId="2C4E805A" w:rsidR="00425F1D" w:rsidRDefault="00DF212B" w:rsidP="00161564">
            <w:pPr>
              <w:rPr>
                <w:rFonts w:ascii="Verdana" w:hAnsi="Verdana" w:cs="Arial"/>
              </w:rPr>
            </w:pPr>
            <w:r>
              <w:rPr>
                <w:rFonts w:ascii="Verdana" w:hAnsi="Verdana" w:cs="Arial"/>
              </w:rPr>
              <w:t>12.3.</w:t>
            </w:r>
          </w:p>
        </w:tc>
        <w:tc>
          <w:tcPr>
            <w:tcW w:w="8554" w:type="dxa"/>
          </w:tcPr>
          <w:p w14:paraId="0418CAFE" w14:textId="4D0808DE" w:rsidR="00425F1D" w:rsidRPr="00A71381" w:rsidRDefault="00A5589B" w:rsidP="00161564">
            <w:pPr>
              <w:rPr>
                <w:rFonts w:ascii="Verdana" w:hAnsi="Verdana" w:cs="Arial"/>
                <w:u w:val="single"/>
              </w:rPr>
            </w:pPr>
            <w:r w:rsidRPr="00A71381">
              <w:rPr>
                <w:rFonts w:ascii="Verdana" w:hAnsi="Verdana" w:cs="Arial"/>
                <w:u w:val="single"/>
              </w:rPr>
              <w:t>Offers of Accommodation</w:t>
            </w:r>
            <w:r w:rsidR="00700A12">
              <w:rPr>
                <w:rFonts w:ascii="Verdana" w:hAnsi="Verdana" w:cs="Arial"/>
                <w:u w:val="single"/>
              </w:rPr>
              <w:t>, Reviews and Monitoring</w:t>
            </w:r>
          </w:p>
          <w:p w14:paraId="1CC84BF3" w14:textId="77777777" w:rsidR="00A71381" w:rsidRDefault="00A71381" w:rsidP="00161564">
            <w:pPr>
              <w:rPr>
                <w:rFonts w:ascii="Verdana" w:hAnsi="Verdana" w:cs="Arial"/>
              </w:rPr>
            </w:pPr>
          </w:p>
          <w:p w14:paraId="754AE442" w14:textId="77777777" w:rsidR="00A71381" w:rsidRPr="00A71381" w:rsidRDefault="00A71381" w:rsidP="00A71381">
            <w:pPr>
              <w:rPr>
                <w:rFonts w:ascii="Verdana" w:hAnsi="Verdana" w:cs="Arial"/>
              </w:rPr>
            </w:pPr>
            <w:r w:rsidRPr="00A71381">
              <w:rPr>
                <w:rFonts w:ascii="Verdana" w:hAnsi="Verdana" w:cs="Arial"/>
              </w:rPr>
              <w:t>One offer of suitable accommodation will be made under the Management Move Policy. If this offer is refused, the Management Move status will be withdrawn and the tenant must return to their property as their main and principal home.</w:t>
            </w:r>
          </w:p>
          <w:p w14:paraId="5523BC00" w14:textId="77777777" w:rsidR="00A71381" w:rsidRPr="00A71381" w:rsidRDefault="00A71381" w:rsidP="00A71381">
            <w:pPr>
              <w:rPr>
                <w:rFonts w:ascii="Verdana" w:hAnsi="Verdana" w:cs="Arial"/>
              </w:rPr>
            </w:pPr>
          </w:p>
          <w:p w14:paraId="56F027F0" w14:textId="77777777" w:rsidR="00A71381" w:rsidRPr="00A71381" w:rsidRDefault="00A71381" w:rsidP="00A71381">
            <w:pPr>
              <w:rPr>
                <w:rFonts w:ascii="Verdana" w:hAnsi="Verdana" w:cs="Arial"/>
              </w:rPr>
            </w:pPr>
            <w:r w:rsidRPr="00A71381">
              <w:rPr>
                <w:rFonts w:ascii="Verdana" w:hAnsi="Verdana" w:cs="Arial"/>
              </w:rPr>
              <w:t>If the tenant does not believe the offer of accommodation is a suitable offer, they have the right of appeal.</w:t>
            </w:r>
          </w:p>
          <w:p w14:paraId="5638F728" w14:textId="77777777" w:rsidR="00A71381" w:rsidRPr="00A71381" w:rsidRDefault="00A71381" w:rsidP="00A71381">
            <w:pPr>
              <w:rPr>
                <w:rFonts w:ascii="Verdana" w:hAnsi="Verdana" w:cs="Arial"/>
              </w:rPr>
            </w:pPr>
          </w:p>
          <w:p w14:paraId="626E929F" w14:textId="77777777" w:rsidR="00A71381" w:rsidRPr="00A71381" w:rsidRDefault="00A71381" w:rsidP="00A71381">
            <w:pPr>
              <w:rPr>
                <w:rFonts w:ascii="Verdana" w:hAnsi="Verdana" w:cs="Arial"/>
              </w:rPr>
            </w:pPr>
            <w:r w:rsidRPr="00A71381">
              <w:rPr>
                <w:rFonts w:ascii="Verdana" w:hAnsi="Verdana" w:cs="Arial"/>
              </w:rPr>
              <w:t>When offering accommodation, the Council will work to the Allocations Policy to determine property and locality suitability depending on the needs of the tenant and/or their household members are identified in the Management Move Review.</w:t>
            </w:r>
          </w:p>
          <w:p w14:paraId="46FBB67A" w14:textId="77777777" w:rsidR="00A71381" w:rsidRPr="00A71381" w:rsidRDefault="00A71381" w:rsidP="00A71381">
            <w:pPr>
              <w:rPr>
                <w:rFonts w:ascii="Verdana" w:hAnsi="Verdana" w:cs="Arial"/>
              </w:rPr>
            </w:pPr>
          </w:p>
          <w:p w14:paraId="4194428F" w14:textId="77777777" w:rsidR="00A71381" w:rsidRPr="00A71381" w:rsidRDefault="00A71381" w:rsidP="00A71381">
            <w:pPr>
              <w:rPr>
                <w:rFonts w:ascii="Verdana" w:hAnsi="Verdana" w:cs="Arial"/>
              </w:rPr>
            </w:pPr>
            <w:r w:rsidRPr="00A71381">
              <w:rPr>
                <w:rFonts w:ascii="Verdana" w:hAnsi="Verdana" w:cs="Arial"/>
              </w:rPr>
              <w:t>Tenure will not be impacted by a Management Move.</w:t>
            </w:r>
          </w:p>
          <w:p w14:paraId="6FCA326D" w14:textId="77777777" w:rsidR="00A71381" w:rsidRPr="00A71381" w:rsidRDefault="00A71381" w:rsidP="00A71381">
            <w:pPr>
              <w:rPr>
                <w:rFonts w:ascii="Verdana" w:hAnsi="Verdana" w:cs="Arial"/>
              </w:rPr>
            </w:pPr>
          </w:p>
          <w:p w14:paraId="3AFD6E91" w14:textId="77777777" w:rsidR="00A71381" w:rsidRPr="00A71381" w:rsidRDefault="00A71381" w:rsidP="00A71381">
            <w:pPr>
              <w:rPr>
                <w:rFonts w:ascii="Verdana" w:hAnsi="Verdana" w:cs="Arial"/>
              </w:rPr>
            </w:pPr>
            <w:r w:rsidRPr="00A71381">
              <w:rPr>
                <w:rFonts w:ascii="Verdana" w:hAnsi="Verdana" w:cs="Arial"/>
              </w:rPr>
              <w:t>Where there is a risk identified to the tenant and their permanent household in their current accommodation, the Council will not consider them for housing within a two-mile radius of their current property.</w:t>
            </w:r>
          </w:p>
          <w:p w14:paraId="27878AF7" w14:textId="77777777" w:rsidR="00A71381" w:rsidRPr="00A71381" w:rsidRDefault="00A71381" w:rsidP="00A71381">
            <w:pPr>
              <w:rPr>
                <w:rFonts w:ascii="Verdana" w:hAnsi="Verdana" w:cs="Arial"/>
              </w:rPr>
            </w:pPr>
          </w:p>
          <w:p w14:paraId="15EAFADA" w14:textId="77777777" w:rsidR="00A71381" w:rsidRPr="00A71381" w:rsidRDefault="00A71381" w:rsidP="00A71381">
            <w:pPr>
              <w:rPr>
                <w:rFonts w:ascii="Verdana" w:hAnsi="Verdana" w:cs="Arial"/>
              </w:rPr>
            </w:pPr>
            <w:r w:rsidRPr="00A71381">
              <w:rPr>
                <w:rFonts w:ascii="Verdana" w:hAnsi="Verdana" w:cs="Arial"/>
              </w:rPr>
              <w:t xml:space="preserve">If the tenant requires rehousing outside of the Borough, the tenant must apply directly to the relevant Local Authority or Housing provider in the area they need.  </w:t>
            </w:r>
          </w:p>
          <w:p w14:paraId="5A9894F6" w14:textId="22208281" w:rsidR="00A5589B" w:rsidRPr="003A37B6" w:rsidRDefault="00A5589B" w:rsidP="00161564">
            <w:pPr>
              <w:rPr>
                <w:rFonts w:ascii="Verdana" w:hAnsi="Verdana" w:cs="Arial"/>
              </w:rPr>
            </w:pPr>
          </w:p>
        </w:tc>
      </w:tr>
      <w:tr w:rsidR="008B7A05" w14:paraId="476409E7" w14:textId="77777777" w:rsidTr="00DA5066">
        <w:tc>
          <w:tcPr>
            <w:tcW w:w="796" w:type="dxa"/>
          </w:tcPr>
          <w:p w14:paraId="4E754939" w14:textId="51FCCBE3" w:rsidR="008B7A05" w:rsidRDefault="00DF212B" w:rsidP="00161564">
            <w:pPr>
              <w:rPr>
                <w:rFonts w:ascii="Verdana" w:hAnsi="Verdana" w:cs="Arial"/>
              </w:rPr>
            </w:pPr>
            <w:r>
              <w:rPr>
                <w:rFonts w:ascii="Verdana" w:hAnsi="Verdana" w:cs="Arial"/>
              </w:rPr>
              <w:lastRenderedPageBreak/>
              <w:t>12.4.</w:t>
            </w:r>
          </w:p>
        </w:tc>
        <w:tc>
          <w:tcPr>
            <w:tcW w:w="8554" w:type="dxa"/>
          </w:tcPr>
          <w:p w14:paraId="7A71782E" w14:textId="77777777" w:rsidR="009F73FE" w:rsidRPr="00636D39" w:rsidRDefault="009F73FE" w:rsidP="009F73FE">
            <w:pPr>
              <w:rPr>
                <w:rFonts w:ascii="Verdana" w:hAnsi="Verdana" w:cs="Arial"/>
              </w:rPr>
            </w:pPr>
            <w:r w:rsidRPr="00636D39">
              <w:rPr>
                <w:rFonts w:ascii="Verdana" w:hAnsi="Verdana" w:cs="Arial"/>
              </w:rPr>
              <w:t xml:space="preserve">Tenants who have been approved for a Management Move will have their cases reviewed bi-monthly by the Landlord Services Manager and Housing Solutions Manager. Each case will be reviewed individually to ascertain any significant changes. In some cases, some tenants will be removed. </w:t>
            </w:r>
          </w:p>
          <w:p w14:paraId="3641640C" w14:textId="77777777" w:rsidR="008B7A05" w:rsidRPr="00636D39" w:rsidRDefault="008B7A05" w:rsidP="00161564">
            <w:pPr>
              <w:rPr>
                <w:rFonts w:ascii="Verdana" w:hAnsi="Verdana" w:cs="Arial"/>
              </w:rPr>
            </w:pPr>
          </w:p>
          <w:p w14:paraId="05A7EB84" w14:textId="77777777" w:rsidR="00636D39" w:rsidRPr="00636D39" w:rsidRDefault="00636D39" w:rsidP="00636D39">
            <w:pPr>
              <w:rPr>
                <w:rFonts w:ascii="Verdana" w:hAnsi="Verdana" w:cs="Arial"/>
              </w:rPr>
            </w:pPr>
            <w:r w:rsidRPr="00636D39">
              <w:rPr>
                <w:rFonts w:ascii="Verdana" w:hAnsi="Verdana" w:cs="Arial"/>
              </w:rPr>
              <w:t>Examples of cases being removed from the Management Move list could include:</w:t>
            </w:r>
          </w:p>
          <w:p w14:paraId="1602E18D" w14:textId="77777777" w:rsidR="00636D39" w:rsidRPr="00636D39" w:rsidRDefault="00636D39" w:rsidP="00636D39">
            <w:pPr>
              <w:rPr>
                <w:rFonts w:ascii="Verdana" w:hAnsi="Verdana" w:cs="Arial"/>
              </w:rPr>
            </w:pPr>
          </w:p>
          <w:p w14:paraId="0793935A" w14:textId="77777777" w:rsidR="00636D39" w:rsidRPr="00636D39" w:rsidRDefault="00636D39" w:rsidP="00636D39">
            <w:pPr>
              <w:pStyle w:val="ListParagraph"/>
              <w:numPr>
                <w:ilvl w:val="0"/>
                <w:numId w:val="21"/>
              </w:numPr>
              <w:rPr>
                <w:rFonts w:ascii="Verdana" w:hAnsi="Verdana" w:cs="Arial"/>
              </w:rPr>
            </w:pPr>
            <w:r w:rsidRPr="00636D39">
              <w:rPr>
                <w:rFonts w:ascii="Verdana" w:hAnsi="Verdana" w:cs="Arial"/>
              </w:rPr>
              <w:t>The perpetrator(s) have moved/terminated their tenancy</w:t>
            </w:r>
          </w:p>
          <w:p w14:paraId="43888EDB" w14:textId="77777777" w:rsidR="00636D39" w:rsidRPr="00636D39" w:rsidRDefault="00636D39" w:rsidP="00636D39">
            <w:pPr>
              <w:pStyle w:val="ListParagraph"/>
              <w:numPr>
                <w:ilvl w:val="0"/>
                <w:numId w:val="21"/>
              </w:numPr>
              <w:rPr>
                <w:rFonts w:ascii="Verdana" w:hAnsi="Verdana" w:cs="Arial"/>
              </w:rPr>
            </w:pPr>
            <w:r w:rsidRPr="00636D39">
              <w:rPr>
                <w:rFonts w:ascii="Verdana" w:hAnsi="Verdana" w:cs="Arial"/>
              </w:rPr>
              <w:t>Injunction(s) have been awarded and offer protection to the tenant(s)</w:t>
            </w:r>
          </w:p>
          <w:p w14:paraId="68DD3302" w14:textId="77777777" w:rsidR="00636D39" w:rsidRPr="00636D39" w:rsidRDefault="00636D39" w:rsidP="00636D39">
            <w:pPr>
              <w:pStyle w:val="ListParagraph"/>
              <w:numPr>
                <w:ilvl w:val="0"/>
                <w:numId w:val="21"/>
              </w:numPr>
              <w:rPr>
                <w:rFonts w:ascii="Verdana" w:hAnsi="Verdana" w:cs="Arial"/>
              </w:rPr>
            </w:pPr>
            <w:r w:rsidRPr="00636D39">
              <w:rPr>
                <w:rFonts w:ascii="Verdana" w:hAnsi="Verdana" w:cs="Arial"/>
              </w:rPr>
              <w:t>The tenant has refused a reasonable offer of alternative accommodation; and/or</w:t>
            </w:r>
          </w:p>
          <w:p w14:paraId="08FAD090" w14:textId="77777777" w:rsidR="00636D39" w:rsidRPr="00636D39" w:rsidRDefault="00636D39" w:rsidP="00636D39">
            <w:pPr>
              <w:pStyle w:val="ListParagraph"/>
              <w:numPr>
                <w:ilvl w:val="0"/>
                <w:numId w:val="21"/>
              </w:numPr>
              <w:rPr>
                <w:rFonts w:ascii="Verdana" w:hAnsi="Verdana" w:cs="Arial"/>
              </w:rPr>
            </w:pPr>
            <w:r w:rsidRPr="00636D39">
              <w:rPr>
                <w:rFonts w:ascii="Verdana" w:hAnsi="Verdana" w:cs="Arial"/>
              </w:rPr>
              <w:t>The tenants are failing to engage with the case officer.</w:t>
            </w:r>
          </w:p>
          <w:p w14:paraId="0486EDF9" w14:textId="77777777" w:rsidR="00636D39" w:rsidRPr="00636D39" w:rsidRDefault="00636D39" w:rsidP="00161564">
            <w:pPr>
              <w:rPr>
                <w:rFonts w:ascii="Verdana" w:hAnsi="Verdana" w:cs="Arial"/>
              </w:rPr>
            </w:pPr>
          </w:p>
        </w:tc>
      </w:tr>
      <w:tr w:rsidR="008B7A05" w14:paraId="7E45E007" w14:textId="77777777" w:rsidTr="00DA5066">
        <w:tc>
          <w:tcPr>
            <w:tcW w:w="796" w:type="dxa"/>
          </w:tcPr>
          <w:p w14:paraId="3901F0C4" w14:textId="58F0947C" w:rsidR="008B7A05" w:rsidRDefault="00700A12" w:rsidP="00161564">
            <w:pPr>
              <w:rPr>
                <w:rFonts w:ascii="Verdana" w:hAnsi="Verdana" w:cs="Arial"/>
              </w:rPr>
            </w:pPr>
            <w:r>
              <w:rPr>
                <w:rFonts w:ascii="Verdana" w:hAnsi="Verdana" w:cs="Arial"/>
              </w:rPr>
              <w:t>12.3.</w:t>
            </w:r>
          </w:p>
        </w:tc>
        <w:tc>
          <w:tcPr>
            <w:tcW w:w="8554" w:type="dxa"/>
          </w:tcPr>
          <w:p w14:paraId="3B5EE565" w14:textId="77777777" w:rsidR="009C6D6D" w:rsidRPr="009C6D6D" w:rsidRDefault="009C6D6D" w:rsidP="009C6D6D">
            <w:pPr>
              <w:rPr>
                <w:rFonts w:ascii="Verdana" w:hAnsi="Verdana" w:cs="Arial"/>
              </w:rPr>
            </w:pPr>
            <w:r w:rsidRPr="009C6D6D">
              <w:rPr>
                <w:rFonts w:ascii="Verdana" w:hAnsi="Verdana" w:cs="Arial"/>
              </w:rPr>
              <w:t xml:space="preserve">The case officer will be responsible for contacting the tenant for regular updates and should their case be removed from the Management Move list; they must be informed via telephone or in person, and followed up in writing, outlining the reason for the removal. </w:t>
            </w:r>
          </w:p>
          <w:p w14:paraId="1A7E6719" w14:textId="77777777" w:rsidR="008B7A05" w:rsidRPr="003A37B6" w:rsidRDefault="008B7A05" w:rsidP="00161564">
            <w:pPr>
              <w:rPr>
                <w:rFonts w:ascii="Verdana" w:hAnsi="Verdana" w:cs="Arial"/>
              </w:rPr>
            </w:pPr>
          </w:p>
        </w:tc>
      </w:tr>
      <w:tr w:rsidR="008B7A05" w14:paraId="516C0682" w14:textId="77777777" w:rsidTr="00DA5066">
        <w:tc>
          <w:tcPr>
            <w:tcW w:w="796" w:type="dxa"/>
          </w:tcPr>
          <w:p w14:paraId="20587DF5" w14:textId="567512A5" w:rsidR="008B7A05" w:rsidRPr="009E6F21" w:rsidRDefault="009E6F21" w:rsidP="00161564">
            <w:pPr>
              <w:rPr>
                <w:rFonts w:ascii="Verdana" w:hAnsi="Verdana" w:cs="Arial"/>
                <w:b/>
                <w:bCs/>
                <w:color w:val="385623" w:themeColor="accent6" w:themeShade="80"/>
                <w:sz w:val="24"/>
                <w:szCs w:val="24"/>
              </w:rPr>
            </w:pPr>
            <w:r w:rsidRPr="009E6F21">
              <w:rPr>
                <w:rFonts w:ascii="Verdana" w:hAnsi="Verdana" w:cs="Arial"/>
                <w:b/>
                <w:bCs/>
                <w:color w:val="385623" w:themeColor="accent6" w:themeShade="80"/>
                <w:sz w:val="24"/>
                <w:szCs w:val="24"/>
              </w:rPr>
              <w:t>13.</w:t>
            </w:r>
          </w:p>
        </w:tc>
        <w:tc>
          <w:tcPr>
            <w:tcW w:w="8554" w:type="dxa"/>
          </w:tcPr>
          <w:p w14:paraId="7DE4E682" w14:textId="13AD2639" w:rsidR="008B7A05" w:rsidRPr="009E6F21" w:rsidRDefault="009E6F21" w:rsidP="00161564">
            <w:pPr>
              <w:rPr>
                <w:rFonts w:ascii="Verdana" w:hAnsi="Verdana" w:cs="Arial"/>
                <w:b/>
                <w:bCs/>
                <w:color w:val="385623" w:themeColor="accent6" w:themeShade="80"/>
                <w:sz w:val="24"/>
                <w:szCs w:val="24"/>
              </w:rPr>
            </w:pPr>
            <w:r w:rsidRPr="009E6F21">
              <w:rPr>
                <w:rFonts w:ascii="Verdana" w:hAnsi="Verdana" w:cs="Arial"/>
                <w:b/>
                <w:bCs/>
                <w:color w:val="385623" w:themeColor="accent6" w:themeShade="80"/>
                <w:sz w:val="24"/>
                <w:szCs w:val="24"/>
              </w:rPr>
              <w:t>Appeals</w:t>
            </w:r>
          </w:p>
        </w:tc>
      </w:tr>
      <w:tr w:rsidR="008B7A05" w14:paraId="647D467D" w14:textId="77777777" w:rsidTr="00DA5066">
        <w:tc>
          <w:tcPr>
            <w:tcW w:w="796" w:type="dxa"/>
          </w:tcPr>
          <w:p w14:paraId="41B122D7" w14:textId="62824AEC" w:rsidR="008B7A05" w:rsidRDefault="009E6F21" w:rsidP="00161564">
            <w:pPr>
              <w:rPr>
                <w:rFonts w:ascii="Verdana" w:hAnsi="Verdana" w:cs="Arial"/>
              </w:rPr>
            </w:pPr>
            <w:r>
              <w:rPr>
                <w:rFonts w:ascii="Verdana" w:hAnsi="Verdana" w:cs="Arial"/>
              </w:rPr>
              <w:t>13.1.</w:t>
            </w:r>
          </w:p>
        </w:tc>
        <w:tc>
          <w:tcPr>
            <w:tcW w:w="8554" w:type="dxa"/>
          </w:tcPr>
          <w:p w14:paraId="1746D2E1" w14:textId="602CC425" w:rsidR="00DE7057" w:rsidRPr="00D6454F" w:rsidRDefault="00DE7057" w:rsidP="00DE7057">
            <w:pPr>
              <w:rPr>
                <w:rFonts w:ascii="Verdana" w:hAnsi="Verdana" w:cs="Arial"/>
              </w:rPr>
            </w:pPr>
            <w:r w:rsidRPr="00D6454F">
              <w:rPr>
                <w:rFonts w:ascii="Verdana" w:hAnsi="Verdana" w:cs="Arial"/>
              </w:rPr>
              <w:t>A tenant can appeal the decision for a Management Move – they must put their appeal in writing to the Landlord Services Manager within 10 working days from the date the decision was made a</w:t>
            </w:r>
            <w:r w:rsidR="0093338F">
              <w:rPr>
                <w:rFonts w:ascii="Verdana" w:hAnsi="Verdana" w:cs="Arial"/>
              </w:rPr>
              <w:t>nd</w:t>
            </w:r>
            <w:r w:rsidRPr="00D6454F">
              <w:rPr>
                <w:rFonts w:ascii="Verdana" w:hAnsi="Verdana" w:cs="Arial"/>
              </w:rPr>
              <w:t xml:space="preserve"> provide </w:t>
            </w:r>
            <w:r w:rsidR="0093338F">
              <w:rPr>
                <w:rFonts w:ascii="Verdana" w:hAnsi="Verdana" w:cs="Arial"/>
              </w:rPr>
              <w:t xml:space="preserve">all </w:t>
            </w:r>
            <w:r w:rsidRPr="00D6454F">
              <w:rPr>
                <w:rFonts w:ascii="Verdana" w:hAnsi="Verdana" w:cs="Arial"/>
              </w:rPr>
              <w:t xml:space="preserve">supporting evidence </w:t>
            </w:r>
            <w:r w:rsidR="0093338F">
              <w:rPr>
                <w:rFonts w:ascii="Verdana" w:hAnsi="Verdana" w:cs="Arial"/>
              </w:rPr>
              <w:t xml:space="preserve">and supplementary information </w:t>
            </w:r>
            <w:r w:rsidRPr="00D6454F">
              <w:rPr>
                <w:rFonts w:ascii="Verdana" w:hAnsi="Verdana" w:cs="Arial"/>
              </w:rPr>
              <w:t xml:space="preserve">for their appeal. </w:t>
            </w:r>
          </w:p>
          <w:p w14:paraId="4392741D" w14:textId="77777777" w:rsidR="008B7A05" w:rsidRPr="00D6454F" w:rsidRDefault="008B7A05" w:rsidP="00161564">
            <w:pPr>
              <w:rPr>
                <w:rFonts w:ascii="Verdana" w:hAnsi="Verdana" w:cs="Arial"/>
              </w:rPr>
            </w:pPr>
          </w:p>
        </w:tc>
      </w:tr>
      <w:tr w:rsidR="008B7A05" w14:paraId="116403B8" w14:textId="77777777" w:rsidTr="00DA5066">
        <w:tc>
          <w:tcPr>
            <w:tcW w:w="796" w:type="dxa"/>
          </w:tcPr>
          <w:p w14:paraId="2E08807D" w14:textId="7F4A97DC" w:rsidR="008B7A05" w:rsidRDefault="00D6454F" w:rsidP="00161564">
            <w:pPr>
              <w:rPr>
                <w:rFonts w:ascii="Verdana" w:hAnsi="Verdana" w:cs="Arial"/>
              </w:rPr>
            </w:pPr>
            <w:r>
              <w:rPr>
                <w:rFonts w:ascii="Verdana" w:hAnsi="Verdana" w:cs="Arial"/>
              </w:rPr>
              <w:t>13.2.</w:t>
            </w:r>
          </w:p>
        </w:tc>
        <w:tc>
          <w:tcPr>
            <w:tcW w:w="8554" w:type="dxa"/>
          </w:tcPr>
          <w:p w14:paraId="53FC18E3" w14:textId="5C284E2F" w:rsidR="00AC20DC" w:rsidRPr="00D6454F" w:rsidRDefault="00AC20DC" w:rsidP="00AC20DC">
            <w:pPr>
              <w:rPr>
                <w:rFonts w:ascii="Verdana" w:hAnsi="Verdana" w:cs="Arial"/>
              </w:rPr>
            </w:pPr>
            <w:r w:rsidRPr="00012B8D">
              <w:rPr>
                <w:rFonts w:ascii="Verdana" w:hAnsi="Verdana" w:cs="Arial"/>
              </w:rPr>
              <w:t xml:space="preserve">The </w:t>
            </w:r>
            <w:r w:rsidR="002C30C0" w:rsidRPr="00012B8D">
              <w:rPr>
                <w:rFonts w:ascii="Verdana" w:hAnsi="Verdana" w:cs="Arial"/>
              </w:rPr>
              <w:t>Landlord Services Manager or Housing Solutions</w:t>
            </w:r>
            <w:r w:rsidRPr="00012B8D">
              <w:rPr>
                <w:rFonts w:ascii="Verdana" w:hAnsi="Verdana" w:cs="Arial"/>
              </w:rPr>
              <w:t xml:space="preserve"> Manager </w:t>
            </w:r>
            <w:r w:rsidR="002C30C0" w:rsidRPr="00012B8D">
              <w:rPr>
                <w:rFonts w:ascii="Verdana" w:hAnsi="Verdana" w:cs="Arial"/>
              </w:rPr>
              <w:t>(</w:t>
            </w:r>
            <w:r w:rsidR="00012B8D" w:rsidRPr="00012B8D">
              <w:rPr>
                <w:rFonts w:ascii="Verdana" w:hAnsi="Verdana" w:cs="Arial"/>
              </w:rPr>
              <w:t>either manager who is not involved in the original panel meeting</w:t>
            </w:r>
            <w:r w:rsidR="002C30C0" w:rsidRPr="00012B8D">
              <w:rPr>
                <w:rFonts w:ascii="Verdana" w:hAnsi="Verdana" w:cs="Arial"/>
              </w:rPr>
              <w:t xml:space="preserve">) </w:t>
            </w:r>
            <w:r w:rsidRPr="00012B8D">
              <w:rPr>
                <w:rFonts w:ascii="Verdana" w:hAnsi="Verdana" w:cs="Arial"/>
              </w:rPr>
              <w:t>will review the Management Move review form; supporting evidence; decision letter; and case notes when completing the appeal.</w:t>
            </w:r>
            <w:r w:rsidRPr="00D6454F">
              <w:rPr>
                <w:rFonts w:ascii="Verdana" w:hAnsi="Verdana" w:cs="Arial"/>
              </w:rPr>
              <w:t xml:space="preserve"> </w:t>
            </w:r>
          </w:p>
          <w:p w14:paraId="173618D9" w14:textId="77777777" w:rsidR="008B7A05" w:rsidRPr="00D6454F" w:rsidRDefault="008B7A05" w:rsidP="00161564">
            <w:pPr>
              <w:rPr>
                <w:rFonts w:ascii="Verdana" w:hAnsi="Verdana" w:cs="Arial"/>
              </w:rPr>
            </w:pPr>
          </w:p>
        </w:tc>
      </w:tr>
      <w:tr w:rsidR="008B7A05" w14:paraId="7F8322E8" w14:textId="77777777" w:rsidTr="00DA5066">
        <w:tc>
          <w:tcPr>
            <w:tcW w:w="796" w:type="dxa"/>
          </w:tcPr>
          <w:p w14:paraId="5C30C9A9" w14:textId="43AE938A" w:rsidR="008B7A05" w:rsidRDefault="00D6454F" w:rsidP="00161564">
            <w:pPr>
              <w:rPr>
                <w:rFonts w:ascii="Verdana" w:hAnsi="Verdana" w:cs="Arial"/>
              </w:rPr>
            </w:pPr>
            <w:r>
              <w:rPr>
                <w:rFonts w:ascii="Verdana" w:hAnsi="Verdana" w:cs="Arial"/>
              </w:rPr>
              <w:t>13.3.</w:t>
            </w:r>
          </w:p>
        </w:tc>
        <w:tc>
          <w:tcPr>
            <w:tcW w:w="8554" w:type="dxa"/>
          </w:tcPr>
          <w:p w14:paraId="4F83352D" w14:textId="1B5EE755" w:rsidR="00D6454F" w:rsidRPr="00D6454F" w:rsidRDefault="00D6454F" w:rsidP="00D6454F">
            <w:pPr>
              <w:rPr>
                <w:rFonts w:ascii="Verdana" w:hAnsi="Verdana" w:cs="Arial"/>
              </w:rPr>
            </w:pPr>
            <w:r w:rsidRPr="00D6454F">
              <w:rPr>
                <w:rFonts w:ascii="Verdana" w:hAnsi="Verdana" w:cs="Arial"/>
              </w:rPr>
              <w:t>Regardless of the appeal outcome, this will be confirmed in writing with the tenant within 10 working days of receiving the appeal request.</w:t>
            </w:r>
          </w:p>
          <w:p w14:paraId="56B52CC3" w14:textId="779BF07C" w:rsidR="008B7A05" w:rsidRPr="00D6454F" w:rsidRDefault="008B7A05" w:rsidP="00D6454F">
            <w:pPr>
              <w:tabs>
                <w:tab w:val="left" w:pos="970"/>
              </w:tabs>
              <w:rPr>
                <w:rFonts w:ascii="Verdana" w:hAnsi="Verdana" w:cs="Arial"/>
              </w:rPr>
            </w:pPr>
          </w:p>
        </w:tc>
      </w:tr>
      <w:tr w:rsidR="008B7A05" w14:paraId="2C96E4E8" w14:textId="77777777" w:rsidTr="00DA5066">
        <w:tc>
          <w:tcPr>
            <w:tcW w:w="796" w:type="dxa"/>
          </w:tcPr>
          <w:p w14:paraId="731B0BBE" w14:textId="001FAFC2" w:rsidR="008B7A05" w:rsidRPr="00E35C72" w:rsidRDefault="00D24D0F" w:rsidP="00161564">
            <w:pPr>
              <w:rPr>
                <w:rFonts w:ascii="Verdana" w:hAnsi="Verdana" w:cs="Arial"/>
                <w:b/>
                <w:bCs/>
                <w:color w:val="385623" w:themeColor="accent6" w:themeShade="80"/>
                <w:sz w:val="24"/>
                <w:szCs w:val="24"/>
              </w:rPr>
            </w:pPr>
            <w:r w:rsidRPr="00E35C72">
              <w:rPr>
                <w:rFonts w:ascii="Verdana" w:hAnsi="Verdana" w:cs="Arial"/>
                <w:b/>
                <w:bCs/>
                <w:color w:val="385623" w:themeColor="accent6" w:themeShade="80"/>
                <w:sz w:val="24"/>
                <w:szCs w:val="24"/>
              </w:rPr>
              <w:t>14.</w:t>
            </w:r>
          </w:p>
        </w:tc>
        <w:tc>
          <w:tcPr>
            <w:tcW w:w="8554" w:type="dxa"/>
          </w:tcPr>
          <w:p w14:paraId="6F9E7261" w14:textId="7FA9EF03" w:rsidR="008B7A05" w:rsidRPr="00E35C72" w:rsidRDefault="00E35C72" w:rsidP="00161564">
            <w:pPr>
              <w:rPr>
                <w:rFonts w:ascii="Verdana" w:hAnsi="Verdana" w:cs="Arial"/>
                <w:b/>
                <w:bCs/>
                <w:color w:val="385623" w:themeColor="accent6" w:themeShade="80"/>
                <w:sz w:val="24"/>
                <w:szCs w:val="24"/>
              </w:rPr>
            </w:pPr>
            <w:r w:rsidRPr="00E35C72">
              <w:rPr>
                <w:rFonts w:ascii="Verdana" w:hAnsi="Verdana" w:cs="Arial"/>
                <w:b/>
                <w:bCs/>
                <w:color w:val="385623" w:themeColor="accent6" w:themeShade="80"/>
                <w:sz w:val="24"/>
                <w:szCs w:val="24"/>
              </w:rPr>
              <w:t>Related Documents</w:t>
            </w:r>
          </w:p>
        </w:tc>
      </w:tr>
      <w:tr w:rsidR="00D24D0F" w14:paraId="6E02D1F7" w14:textId="77777777" w:rsidTr="00DA5066">
        <w:tc>
          <w:tcPr>
            <w:tcW w:w="796" w:type="dxa"/>
          </w:tcPr>
          <w:p w14:paraId="36E3EF28" w14:textId="398C98B3" w:rsidR="00D24D0F" w:rsidRDefault="00D24D0F" w:rsidP="00161564">
            <w:pPr>
              <w:rPr>
                <w:rFonts w:ascii="Verdana" w:hAnsi="Verdana" w:cs="Arial"/>
              </w:rPr>
            </w:pPr>
            <w:r>
              <w:rPr>
                <w:rFonts w:ascii="Verdana" w:hAnsi="Verdana" w:cs="Arial"/>
              </w:rPr>
              <w:t>14.1.</w:t>
            </w:r>
          </w:p>
        </w:tc>
        <w:tc>
          <w:tcPr>
            <w:tcW w:w="8554" w:type="dxa"/>
          </w:tcPr>
          <w:p w14:paraId="307F0FFC" w14:textId="77777777" w:rsidR="00D24D0F" w:rsidRDefault="00500578" w:rsidP="00161564">
            <w:pPr>
              <w:rPr>
                <w:rFonts w:ascii="Verdana" w:hAnsi="Verdana" w:cs="Arial"/>
              </w:rPr>
            </w:pPr>
            <w:r>
              <w:rPr>
                <w:rFonts w:ascii="Verdana" w:hAnsi="Verdana" w:cs="Arial"/>
              </w:rPr>
              <w:t>This policy relates to the following documents:</w:t>
            </w:r>
          </w:p>
          <w:p w14:paraId="48085BE1" w14:textId="77777777" w:rsidR="003F799A" w:rsidRDefault="003F799A" w:rsidP="00161564">
            <w:pPr>
              <w:rPr>
                <w:rFonts w:ascii="Verdana" w:hAnsi="Verdana" w:cs="Arial"/>
              </w:rPr>
            </w:pPr>
          </w:p>
          <w:p w14:paraId="28FA82DD" w14:textId="77777777" w:rsidR="003F799A" w:rsidRPr="003F799A" w:rsidRDefault="003F799A" w:rsidP="003F799A">
            <w:pPr>
              <w:pStyle w:val="ListParagraph"/>
              <w:numPr>
                <w:ilvl w:val="0"/>
                <w:numId w:val="23"/>
              </w:numPr>
              <w:rPr>
                <w:rFonts w:ascii="Verdana" w:hAnsi="Verdana" w:cs="Arial"/>
              </w:rPr>
            </w:pPr>
            <w:r w:rsidRPr="003F799A">
              <w:rPr>
                <w:rFonts w:ascii="Verdana" w:hAnsi="Verdana" w:cs="Arial"/>
              </w:rPr>
              <w:t>Tenancy Policy</w:t>
            </w:r>
          </w:p>
          <w:p w14:paraId="2D7B10B5" w14:textId="77777777" w:rsidR="003F799A" w:rsidRPr="003F799A" w:rsidRDefault="003F799A" w:rsidP="003F799A">
            <w:pPr>
              <w:pStyle w:val="ListParagraph"/>
              <w:numPr>
                <w:ilvl w:val="0"/>
                <w:numId w:val="23"/>
              </w:numPr>
              <w:rPr>
                <w:rFonts w:ascii="Verdana" w:hAnsi="Verdana" w:cs="Arial"/>
              </w:rPr>
            </w:pPr>
            <w:r w:rsidRPr="003F799A">
              <w:rPr>
                <w:rFonts w:ascii="Verdana" w:hAnsi="Verdana" w:cs="Arial"/>
              </w:rPr>
              <w:t>Decant Policy</w:t>
            </w:r>
          </w:p>
          <w:p w14:paraId="653CC0F9" w14:textId="77777777" w:rsidR="003F799A" w:rsidRPr="003F799A" w:rsidRDefault="003F799A" w:rsidP="003F799A">
            <w:pPr>
              <w:pStyle w:val="ListParagraph"/>
              <w:numPr>
                <w:ilvl w:val="0"/>
                <w:numId w:val="23"/>
              </w:numPr>
              <w:rPr>
                <w:rFonts w:ascii="Verdana" w:hAnsi="Verdana" w:cs="Arial"/>
              </w:rPr>
            </w:pPr>
            <w:r w:rsidRPr="003F799A">
              <w:rPr>
                <w:rFonts w:ascii="Verdana" w:hAnsi="Verdana" w:cs="Arial"/>
              </w:rPr>
              <w:t>Domestic Abuse Policy</w:t>
            </w:r>
          </w:p>
          <w:p w14:paraId="13466745" w14:textId="02B37BCB" w:rsidR="00500578" w:rsidRPr="003F799A" w:rsidRDefault="003F799A" w:rsidP="00161564">
            <w:pPr>
              <w:pStyle w:val="ListParagraph"/>
              <w:numPr>
                <w:ilvl w:val="0"/>
                <w:numId w:val="23"/>
              </w:numPr>
              <w:rPr>
                <w:rFonts w:ascii="Verdana" w:hAnsi="Verdana" w:cs="Arial"/>
              </w:rPr>
            </w:pPr>
            <w:r w:rsidRPr="003F799A">
              <w:rPr>
                <w:rFonts w:ascii="Verdana" w:hAnsi="Verdana" w:cs="Arial"/>
              </w:rPr>
              <w:t>Allocations Policy</w:t>
            </w:r>
          </w:p>
          <w:p w14:paraId="615AA899" w14:textId="52BEEE26" w:rsidR="00500578" w:rsidRPr="003A37B6" w:rsidRDefault="00500578" w:rsidP="00161564">
            <w:pPr>
              <w:rPr>
                <w:rFonts w:ascii="Verdana" w:hAnsi="Verdana" w:cs="Arial"/>
              </w:rPr>
            </w:pPr>
          </w:p>
        </w:tc>
      </w:tr>
      <w:tr w:rsidR="001409B8" w14:paraId="2D80A6C5" w14:textId="77777777" w:rsidTr="00DA5066">
        <w:tc>
          <w:tcPr>
            <w:tcW w:w="796" w:type="dxa"/>
          </w:tcPr>
          <w:p w14:paraId="34EBAC42" w14:textId="6CAC23B0" w:rsidR="001409B8" w:rsidRPr="00E35C72" w:rsidRDefault="00D24D0F" w:rsidP="00161564">
            <w:pPr>
              <w:rPr>
                <w:rFonts w:ascii="Verdana" w:hAnsi="Verdana" w:cs="Arial"/>
                <w:b/>
                <w:bCs/>
                <w:color w:val="385623" w:themeColor="accent6" w:themeShade="80"/>
                <w:sz w:val="24"/>
                <w:szCs w:val="24"/>
              </w:rPr>
            </w:pPr>
            <w:r w:rsidRPr="00E35C72">
              <w:rPr>
                <w:rFonts w:ascii="Verdana" w:hAnsi="Verdana" w:cs="Arial"/>
                <w:b/>
                <w:bCs/>
                <w:color w:val="385623" w:themeColor="accent6" w:themeShade="80"/>
                <w:sz w:val="24"/>
                <w:szCs w:val="24"/>
              </w:rPr>
              <w:lastRenderedPageBreak/>
              <w:t>15.</w:t>
            </w:r>
          </w:p>
        </w:tc>
        <w:tc>
          <w:tcPr>
            <w:tcW w:w="8554" w:type="dxa"/>
          </w:tcPr>
          <w:p w14:paraId="503C1F11" w14:textId="7D3C0E5C" w:rsidR="001409B8" w:rsidRPr="00E35C72" w:rsidRDefault="00E35C72" w:rsidP="00161564">
            <w:pPr>
              <w:rPr>
                <w:rFonts w:ascii="Verdana" w:hAnsi="Verdana" w:cs="Arial"/>
                <w:b/>
                <w:bCs/>
                <w:color w:val="385623" w:themeColor="accent6" w:themeShade="80"/>
                <w:sz w:val="24"/>
                <w:szCs w:val="24"/>
              </w:rPr>
            </w:pPr>
            <w:r w:rsidRPr="00E35C72">
              <w:rPr>
                <w:rFonts w:ascii="Verdana" w:hAnsi="Verdana" w:cs="Arial"/>
                <w:b/>
                <w:bCs/>
                <w:color w:val="385623" w:themeColor="accent6" w:themeShade="80"/>
                <w:sz w:val="24"/>
                <w:szCs w:val="24"/>
              </w:rPr>
              <w:t>References</w:t>
            </w:r>
          </w:p>
        </w:tc>
      </w:tr>
      <w:tr w:rsidR="00E35C72" w14:paraId="34721AB3" w14:textId="77777777" w:rsidTr="00DA5066">
        <w:tc>
          <w:tcPr>
            <w:tcW w:w="796" w:type="dxa"/>
          </w:tcPr>
          <w:p w14:paraId="75D0831E" w14:textId="12C32885" w:rsidR="00E35C72" w:rsidRDefault="00500578" w:rsidP="00161564">
            <w:pPr>
              <w:rPr>
                <w:rFonts w:ascii="Verdana" w:hAnsi="Verdana" w:cs="Arial"/>
              </w:rPr>
            </w:pPr>
            <w:r>
              <w:rPr>
                <w:rFonts w:ascii="Verdana" w:hAnsi="Verdana" w:cs="Arial"/>
              </w:rPr>
              <w:t>15.1.</w:t>
            </w:r>
          </w:p>
        </w:tc>
        <w:tc>
          <w:tcPr>
            <w:tcW w:w="8554" w:type="dxa"/>
          </w:tcPr>
          <w:p w14:paraId="49662F9C" w14:textId="77777777" w:rsidR="00E35C72" w:rsidRDefault="00500578" w:rsidP="00161564">
            <w:pPr>
              <w:rPr>
                <w:rFonts w:ascii="Verdana" w:hAnsi="Verdana" w:cs="Arial"/>
              </w:rPr>
            </w:pPr>
            <w:r>
              <w:rPr>
                <w:rFonts w:ascii="Verdana" w:hAnsi="Verdana" w:cs="Arial"/>
              </w:rPr>
              <w:t>This policy refers to:</w:t>
            </w:r>
          </w:p>
          <w:p w14:paraId="3BC4D1CB" w14:textId="77777777" w:rsidR="003F799A" w:rsidRDefault="003F799A" w:rsidP="00161564">
            <w:pPr>
              <w:rPr>
                <w:rFonts w:ascii="Verdana" w:hAnsi="Verdana" w:cs="Arial"/>
              </w:rPr>
            </w:pPr>
          </w:p>
          <w:p w14:paraId="373E9F69" w14:textId="77777777" w:rsidR="00D53BB7" w:rsidRPr="003F799A" w:rsidRDefault="00D53BB7" w:rsidP="00D53BB7">
            <w:pPr>
              <w:pStyle w:val="ListParagraph"/>
              <w:numPr>
                <w:ilvl w:val="0"/>
                <w:numId w:val="24"/>
              </w:numPr>
              <w:rPr>
                <w:rFonts w:ascii="Verdana" w:hAnsi="Verdana" w:cs="Arial"/>
              </w:rPr>
            </w:pPr>
            <w:r w:rsidRPr="003F799A">
              <w:rPr>
                <w:rFonts w:ascii="Verdana" w:hAnsi="Verdana" w:cs="Arial"/>
              </w:rPr>
              <w:t>Tenancy Policy</w:t>
            </w:r>
          </w:p>
          <w:p w14:paraId="787649C5" w14:textId="77777777" w:rsidR="00D53BB7" w:rsidRPr="003F799A" w:rsidRDefault="00D53BB7" w:rsidP="00D53BB7">
            <w:pPr>
              <w:pStyle w:val="ListParagraph"/>
              <w:numPr>
                <w:ilvl w:val="0"/>
                <w:numId w:val="24"/>
              </w:numPr>
              <w:rPr>
                <w:rFonts w:ascii="Verdana" w:hAnsi="Verdana" w:cs="Arial"/>
              </w:rPr>
            </w:pPr>
            <w:r w:rsidRPr="003F799A">
              <w:rPr>
                <w:rFonts w:ascii="Verdana" w:hAnsi="Verdana" w:cs="Arial"/>
              </w:rPr>
              <w:t>Decant Policy</w:t>
            </w:r>
          </w:p>
          <w:p w14:paraId="6CF90778" w14:textId="77777777" w:rsidR="00D53BB7" w:rsidRPr="003F799A" w:rsidRDefault="00D53BB7" w:rsidP="00D53BB7">
            <w:pPr>
              <w:pStyle w:val="ListParagraph"/>
              <w:numPr>
                <w:ilvl w:val="0"/>
                <w:numId w:val="24"/>
              </w:numPr>
              <w:rPr>
                <w:rFonts w:ascii="Verdana" w:hAnsi="Verdana" w:cs="Arial"/>
              </w:rPr>
            </w:pPr>
            <w:r w:rsidRPr="003F799A">
              <w:rPr>
                <w:rFonts w:ascii="Verdana" w:hAnsi="Verdana" w:cs="Arial"/>
              </w:rPr>
              <w:t>Domestic Abuse Policy</w:t>
            </w:r>
          </w:p>
          <w:p w14:paraId="28A07F01" w14:textId="77777777" w:rsidR="00D53BB7" w:rsidRPr="003F799A" w:rsidRDefault="00D53BB7" w:rsidP="00D53BB7">
            <w:pPr>
              <w:pStyle w:val="ListParagraph"/>
              <w:numPr>
                <w:ilvl w:val="0"/>
                <w:numId w:val="24"/>
              </w:numPr>
              <w:rPr>
                <w:rFonts w:ascii="Verdana" w:hAnsi="Verdana" w:cs="Arial"/>
              </w:rPr>
            </w:pPr>
            <w:r w:rsidRPr="003F799A">
              <w:rPr>
                <w:rFonts w:ascii="Verdana" w:hAnsi="Verdana" w:cs="Arial"/>
              </w:rPr>
              <w:t>Allocations Policy</w:t>
            </w:r>
          </w:p>
          <w:p w14:paraId="02B9C64C" w14:textId="4E73FE1F" w:rsidR="003F799A" w:rsidRDefault="00D53BB7" w:rsidP="00D53BB7">
            <w:pPr>
              <w:pStyle w:val="ListParagraph"/>
              <w:numPr>
                <w:ilvl w:val="0"/>
                <w:numId w:val="24"/>
              </w:numPr>
              <w:rPr>
                <w:rFonts w:ascii="Verdana" w:hAnsi="Verdana" w:cs="Arial"/>
              </w:rPr>
            </w:pPr>
            <w:r>
              <w:rPr>
                <w:rFonts w:ascii="Verdana" w:hAnsi="Verdana" w:cs="Arial"/>
              </w:rPr>
              <w:t>Anti-Social Behaviour Policy</w:t>
            </w:r>
          </w:p>
          <w:p w14:paraId="469C2B17" w14:textId="4B50A68F" w:rsidR="00D53BB7" w:rsidRDefault="00D53BB7" w:rsidP="00D53BB7">
            <w:pPr>
              <w:pStyle w:val="ListParagraph"/>
              <w:numPr>
                <w:ilvl w:val="0"/>
                <w:numId w:val="24"/>
              </w:numPr>
              <w:rPr>
                <w:rFonts w:ascii="Verdana" w:hAnsi="Verdana" w:cs="Arial"/>
              </w:rPr>
            </w:pPr>
            <w:r>
              <w:rPr>
                <w:rFonts w:ascii="Verdana" w:hAnsi="Verdana" w:cs="Arial"/>
              </w:rPr>
              <w:t xml:space="preserve">Hate Crime Policy </w:t>
            </w:r>
          </w:p>
          <w:p w14:paraId="5C49A801" w14:textId="3B555036" w:rsidR="001E30A6" w:rsidRDefault="001E30A6" w:rsidP="00D53BB7">
            <w:pPr>
              <w:pStyle w:val="ListParagraph"/>
              <w:numPr>
                <w:ilvl w:val="0"/>
                <w:numId w:val="24"/>
              </w:numPr>
              <w:rPr>
                <w:rFonts w:ascii="Verdana" w:hAnsi="Verdana" w:cs="Arial"/>
              </w:rPr>
            </w:pPr>
            <w:r>
              <w:rPr>
                <w:rFonts w:ascii="Verdana" w:hAnsi="Verdana" w:cs="Arial"/>
              </w:rPr>
              <w:t>Anto-Social Behaviour Procedure</w:t>
            </w:r>
          </w:p>
          <w:p w14:paraId="508E6B89" w14:textId="2F8BE6E5" w:rsidR="001E30A6" w:rsidRDefault="001E30A6" w:rsidP="00D53BB7">
            <w:pPr>
              <w:pStyle w:val="ListParagraph"/>
              <w:numPr>
                <w:ilvl w:val="0"/>
                <w:numId w:val="24"/>
              </w:numPr>
              <w:rPr>
                <w:rFonts w:ascii="Verdana" w:hAnsi="Verdana" w:cs="Arial"/>
              </w:rPr>
            </w:pPr>
            <w:r>
              <w:rPr>
                <w:rFonts w:ascii="Verdana" w:hAnsi="Verdana" w:cs="Arial"/>
              </w:rPr>
              <w:t>Management Move Procedure</w:t>
            </w:r>
          </w:p>
          <w:p w14:paraId="308378BF" w14:textId="6C75B93C" w:rsidR="001E30A6" w:rsidRPr="003F799A" w:rsidRDefault="001E30A6" w:rsidP="00D53BB7">
            <w:pPr>
              <w:pStyle w:val="ListParagraph"/>
              <w:numPr>
                <w:ilvl w:val="0"/>
                <w:numId w:val="24"/>
              </w:numPr>
              <w:rPr>
                <w:rFonts w:ascii="Verdana" w:hAnsi="Verdana" w:cs="Arial"/>
              </w:rPr>
            </w:pPr>
            <w:r>
              <w:rPr>
                <w:rFonts w:ascii="Verdana" w:hAnsi="Verdana" w:cs="Arial"/>
              </w:rPr>
              <w:t>Housing Solutions Procedure</w:t>
            </w:r>
          </w:p>
          <w:p w14:paraId="5B43005F" w14:textId="5DAB903A" w:rsidR="00500578" w:rsidRDefault="00500578" w:rsidP="00161564">
            <w:pPr>
              <w:rPr>
                <w:rFonts w:ascii="Verdana" w:hAnsi="Verdana" w:cs="Arial"/>
              </w:rPr>
            </w:pPr>
          </w:p>
        </w:tc>
      </w:tr>
      <w:tr w:rsidR="001409B8" w14:paraId="62538683" w14:textId="77777777" w:rsidTr="00DA5066">
        <w:tc>
          <w:tcPr>
            <w:tcW w:w="796" w:type="dxa"/>
          </w:tcPr>
          <w:p w14:paraId="59164298" w14:textId="3A49E640" w:rsidR="001409B8" w:rsidRPr="00E35C72" w:rsidRDefault="00D24D0F" w:rsidP="00161564">
            <w:pPr>
              <w:rPr>
                <w:rFonts w:ascii="Verdana" w:hAnsi="Verdana" w:cs="Arial"/>
                <w:b/>
                <w:bCs/>
                <w:color w:val="385623" w:themeColor="accent6" w:themeShade="80"/>
                <w:sz w:val="24"/>
                <w:szCs w:val="24"/>
              </w:rPr>
            </w:pPr>
            <w:r w:rsidRPr="00E35C72">
              <w:rPr>
                <w:rFonts w:ascii="Verdana" w:hAnsi="Verdana" w:cs="Arial"/>
                <w:b/>
                <w:bCs/>
                <w:color w:val="385623" w:themeColor="accent6" w:themeShade="80"/>
                <w:sz w:val="24"/>
                <w:szCs w:val="24"/>
              </w:rPr>
              <w:t>16.</w:t>
            </w:r>
          </w:p>
        </w:tc>
        <w:tc>
          <w:tcPr>
            <w:tcW w:w="8554" w:type="dxa"/>
          </w:tcPr>
          <w:p w14:paraId="4605A9E5" w14:textId="4908926E" w:rsidR="001409B8" w:rsidRPr="00E35C72" w:rsidRDefault="00E35C72" w:rsidP="00161564">
            <w:pPr>
              <w:rPr>
                <w:rFonts w:ascii="Verdana" w:hAnsi="Verdana" w:cs="Arial"/>
                <w:b/>
                <w:bCs/>
                <w:color w:val="385623" w:themeColor="accent6" w:themeShade="80"/>
                <w:sz w:val="24"/>
                <w:szCs w:val="24"/>
              </w:rPr>
            </w:pPr>
            <w:r w:rsidRPr="00E35C72">
              <w:rPr>
                <w:rFonts w:ascii="Verdana" w:hAnsi="Verdana" w:cs="Arial"/>
                <w:b/>
                <w:bCs/>
                <w:color w:val="385623" w:themeColor="accent6" w:themeShade="80"/>
                <w:sz w:val="24"/>
                <w:szCs w:val="24"/>
              </w:rPr>
              <w:t>Review</w:t>
            </w:r>
          </w:p>
        </w:tc>
      </w:tr>
      <w:tr w:rsidR="00724EFA" w14:paraId="5F5B8B78" w14:textId="77777777" w:rsidTr="00DA5066">
        <w:tc>
          <w:tcPr>
            <w:tcW w:w="796" w:type="dxa"/>
          </w:tcPr>
          <w:p w14:paraId="23D52F2A" w14:textId="1C47591A" w:rsidR="00724EFA" w:rsidRDefault="00500578" w:rsidP="00161564">
            <w:pPr>
              <w:rPr>
                <w:rFonts w:ascii="Verdana" w:hAnsi="Verdana" w:cs="Arial"/>
              </w:rPr>
            </w:pPr>
            <w:r>
              <w:rPr>
                <w:rFonts w:ascii="Verdana" w:hAnsi="Verdana" w:cs="Arial"/>
              </w:rPr>
              <w:t>16.1.</w:t>
            </w:r>
          </w:p>
        </w:tc>
        <w:tc>
          <w:tcPr>
            <w:tcW w:w="8554" w:type="dxa"/>
          </w:tcPr>
          <w:p w14:paraId="6749D8ED" w14:textId="77777777" w:rsidR="003C4161" w:rsidRPr="003C4161" w:rsidRDefault="003C4161" w:rsidP="003C4161">
            <w:pPr>
              <w:tabs>
                <w:tab w:val="left" w:pos="1545"/>
              </w:tabs>
              <w:rPr>
                <w:rFonts w:ascii="Verdana" w:hAnsi="Verdana" w:cs="Arial"/>
              </w:rPr>
            </w:pPr>
            <w:r w:rsidRPr="003C4161">
              <w:rPr>
                <w:rFonts w:ascii="Verdana" w:hAnsi="Verdana" w:cs="Arial"/>
              </w:rPr>
              <w:t xml:space="preserve">This policy will be reviewed every three years or on the introduction to new legislation; regulation; or good practice guidance. </w:t>
            </w:r>
          </w:p>
          <w:p w14:paraId="1713E4DA" w14:textId="77777777" w:rsidR="003C4161" w:rsidRPr="003C4161" w:rsidRDefault="003C4161" w:rsidP="003C4161">
            <w:pPr>
              <w:tabs>
                <w:tab w:val="left" w:pos="1545"/>
              </w:tabs>
              <w:rPr>
                <w:rFonts w:ascii="Verdana" w:hAnsi="Verdana" w:cs="Arial"/>
              </w:rPr>
            </w:pPr>
          </w:p>
          <w:p w14:paraId="713F301F" w14:textId="77777777" w:rsidR="003C4161" w:rsidRPr="003C4161" w:rsidRDefault="003C4161" w:rsidP="003C4161">
            <w:pPr>
              <w:tabs>
                <w:tab w:val="left" w:pos="1545"/>
              </w:tabs>
              <w:rPr>
                <w:rFonts w:ascii="Verdana" w:hAnsi="Verdana" w:cs="Arial"/>
              </w:rPr>
            </w:pPr>
            <w:r w:rsidRPr="003C4161">
              <w:rPr>
                <w:rFonts w:ascii="Verdana" w:hAnsi="Verdana" w:cs="Arial"/>
              </w:rPr>
              <w:t xml:space="preserve">Delegated authority to change; amend; and update this policy will be given to the Landlord Services Manager or Assistant Director for Social Housing &amp; Community Safety in consultation with the Portfolio Holder.  </w:t>
            </w:r>
          </w:p>
          <w:p w14:paraId="447F3686" w14:textId="187704DE" w:rsidR="00724EFA" w:rsidRPr="003A37B6" w:rsidRDefault="00724EFA" w:rsidP="00161564">
            <w:pPr>
              <w:rPr>
                <w:rFonts w:ascii="Verdana" w:hAnsi="Verdana" w:cs="Arial"/>
              </w:rPr>
            </w:pPr>
          </w:p>
        </w:tc>
      </w:tr>
    </w:tbl>
    <w:p w14:paraId="4D31C865" w14:textId="77777777" w:rsidR="00927686" w:rsidRDefault="00A009FA">
      <w:pPr>
        <w:rPr>
          <w:rFonts w:ascii="Arial" w:hAnsi="Arial" w:cs="Arial"/>
          <w:b/>
          <w:bCs/>
          <w:sz w:val="24"/>
          <w:szCs w:val="24"/>
        </w:rPr>
      </w:pPr>
      <w:r>
        <w:rPr>
          <w:rFonts w:ascii="Arial" w:hAnsi="Arial" w:cs="Arial"/>
          <w:noProof/>
          <w:sz w:val="24"/>
          <w:szCs w:val="24"/>
        </w:rPr>
        <mc:AlternateContent>
          <mc:Choice Requires="wps">
            <w:drawing>
              <wp:anchor distT="0" distB="0" distL="114300" distR="114300" simplePos="0" relativeHeight="251658752" behindDoc="0" locked="0" layoutInCell="1" allowOverlap="1" wp14:anchorId="37368F90" wp14:editId="5BB73D9C">
                <wp:simplePos x="0" y="0"/>
                <wp:positionH relativeFrom="margin">
                  <wp:posOffset>121920</wp:posOffset>
                </wp:positionH>
                <wp:positionV relativeFrom="paragraph">
                  <wp:posOffset>6012180</wp:posOffset>
                </wp:positionV>
                <wp:extent cx="5686425" cy="2529840"/>
                <wp:effectExtent l="0" t="0" r="9525" b="3810"/>
                <wp:wrapNone/>
                <wp:docPr id="1922376606" name="Text Box 4"/>
                <wp:cNvGraphicFramePr/>
                <a:graphic xmlns:a="http://schemas.openxmlformats.org/drawingml/2006/main">
                  <a:graphicData uri="http://schemas.microsoft.com/office/word/2010/wordprocessingShape">
                    <wps:wsp>
                      <wps:cNvSpPr txBox="1"/>
                      <wps:spPr>
                        <a:xfrm>
                          <a:off x="0" y="0"/>
                          <a:ext cx="5686425" cy="2529840"/>
                        </a:xfrm>
                        <a:prstGeom prst="rect">
                          <a:avLst/>
                        </a:prstGeom>
                        <a:solidFill>
                          <a:schemeClr val="lt1"/>
                        </a:solidFill>
                        <a:ln w="6350">
                          <a:noFill/>
                        </a:ln>
                      </wps:spPr>
                      <wps:txbx>
                        <w:txbxContent>
                          <w:p w14:paraId="737FD0EF" w14:textId="77777777" w:rsidR="00A009FA" w:rsidRDefault="00A009FA" w:rsidP="00A009FA">
                            <w:pPr>
                              <w:rPr>
                                <w:rFonts w:ascii="Arial" w:hAnsi="Arial" w:cs="Arial"/>
                                <w:i/>
                                <w:iCs/>
                                <w:noProof/>
                                <w:sz w:val="24"/>
                                <w:szCs w:val="24"/>
                              </w:rPr>
                            </w:pPr>
                            <w:r w:rsidRPr="00A009FA">
                              <w:rPr>
                                <w:rFonts w:ascii="Arial" w:hAnsi="Arial" w:cs="Arial"/>
                                <w:i/>
                                <w:iCs/>
                                <w:noProof/>
                                <w:sz w:val="24"/>
                                <w:szCs w:val="24"/>
                              </w:rPr>
                              <w:drawing>
                                <wp:inline distT="0" distB="0" distL="0" distR="0" wp14:anchorId="3A18D6A8" wp14:editId="65EFC505">
                                  <wp:extent cx="5624466" cy="54610"/>
                                  <wp:effectExtent l="0" t="0" r="0" b="2540"/>
                                  <wp:docPr id="2541290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5786286" cy="56181"/>
                                          </a:xfrm>
                                          <a:prstGeom prst="rect">
                                            <a:avLst/>
                                          </a:prstGeom>
                                          <a:noFill/>
                                          <a:ln>
                                            <a:noFill/>
                                          </a:ln>
                                        </pic:spPr>
                                      </pic:pic>
                                    </a:graphicData>
                                  </a:graphic>
                                </wp:inline>
                              </w:drawing>
                            </w:r>
                          </w:p>
                          <w:p w14:paraId="097F4CE0" w14:textId="77777777" w:rsidR="009F4399" w:rsidRPr="00D10515" w:rsidRDefault="009F4399" w:rsidP="00A009FA">
                            <w:pPr>
                              <w:jc w:val="center"/>
                              <w:rPr>
                                <w:rFonts w:ascii="Verdana" w:hAnsi="Verdana" w:cs="Arial"/>
                                <w:i/>
                                <w:iCs/>
                              </w:rPr>
                            </w:pPr>
                            <w:r w:rsidRPr="00D10515">
                              <w:rPr>
                                <w:rFonts w:ascii="Verdana" w:hAnsi="Verdana" w:cs="Arial"/>
                                <w:i/>
                                <w:iCs/>
                              </w:rPr>
                              <w:t>This document has been published by Nuneaton and Bedworth Borough Council</w:t>
                            </w:r>
                          </w:p>
                          <w:p w14:paraId="73B4DE27" w14:textId="65AD5087" w:rsidR="00A009FA" w:rsidRPr="00D10515" w:rsidRDefault="00D10515" w:rsidP="00A009FA">
                            <w:pPr>
                              <w:jc w:val="center"/>
                              <w:rPr>
                                <w:rFonts w:ascii="Verdana" w:hAnsi="Verdana" w:cs="Arial"/>
                                <w:i/>
                                <w:iCs/>
                                <w:color w:val="FF0000"/>
                              </w:rPr>
                            </w:pPr>
                            <w:r w:rsidRPr="00D10515">
                              <w:rPr>
                                <w:rFonts w:ascii="Verdana" w:hAnsi="Verdana" w:cs="Arial"/>
                                <w:i/>
                                <w:iCs/>
                                <w:color w:val="FF0000"/>
                              </w:rPr>
                              <w:t>1 July 2025</w:t>
                            </w:r>
                          </w:p>
                          <w:p w14:paraId="588B210E" w14:textId="425090A3" w:rsidR="00D10515" w:rsidRPr="00D10515" w:rsidRDefault="00D10515" w:rsidP="00D10515">
                            <w:pPr>
                              <w:jc w:val="center"/>
                              <w:rPr>
                                <w:rFonts w:ascii="Verdana" w:hAnsi="Verdana" w:cs="Arial"/>
                                <w:i/>
                                <w:iCs/>
                              </w:rPr>
                            </w:pPr>
                            <w:r w:rsidRPr="00D10515">
                              <w:rPr>
                                <w:rFonts w:ascii="Verdana" w:hAnsi="Verdana" w:cs="Arial"/>
                                <w:i/>
                                <w:iCs/>
                              </w:rPr>
                              <w:t>02476 376 406 (Housing)</w:t>
                            </w:r>
                          </w:p>
                          <w:p w14:paraId="3B992620" w14:textId="67CBD44A" w:rsidR="00A009FA" w:rsidRPr="00D10515" w:rsidRDefault="00D10515" w:rsidP="00D10515">
                            <w:pPr>
                              <w:jc w:val="center"/>
                              <w:rPr>
                                <w:rFonts w:ascii="Verdana" w:hAnsi="Verdana" w:cs="Arial"/>
                                <w:i/>
                                <w:iCs/>
                              </w:rPr>
                            </w:pPr>
                            <w:hyperlink r:id="rId13" w:history="1">
                              <w:r w:rsidRPr="00E51848">
                                <w:rPr>
                                  <w:rStyle w:val="Hyperlink"/>
                                  <w:rFonts w:ascii="Verdana" w:hAnsi="Verdana" w:cs="Arial"/>
                                  <w:i/>
                                  <w:iCs/>
                                </w:rPr>
                                <w:t>tenancy.officers@nuneatonandbedworth.gov.uk</w:t>
                              </w:r>
                            </w:hyperlink>
                            <w:r w:rsidRPr="00D10515">
                              <w:rPr>
                                <w:rFonts w:ascii="Verdana" w:hAnsi="Verdana" w:cs="Arial"/>
                                <w:i/>
                                <w:iCs/>
                              </w:rPr>
                              <w:t xml:space="preserve"> </w:t>
                            </w:r>
                          </w:p>
                          <w:p w14:paraId="7D58685F" w14:textId="77777777" w:rsidR="00A009FA" w:rsidRPr="009F4399" w:rsidRDefault="00A009FA" w:rsidP="00A009FA">
                            <w:pPr>
                              <w:jc w:val="center"/>
                              <w:rPr>
                                <w:rFonts w:ascii="Arial" w:hAnsi="Arial" w:cs="Arial"/>
                                <w:i/>
                                <w:iCs/>
                                <w:sz w:val="24"/>
                                <w:szCs w:val="24"/>
                              </w:rPr>
                            </w:pPr>
                            <w:r w:rsidRPr="00A009FA">
                              <w:rPr>
                                <w:rFonts w:ascii="Arial" w:hAnsi="Arial" w:cs="Arial"/>
                                <w:i/>
                                <w:iCs/>
                                <w:noProof/>
                                <w:sz w:val="24"/>
                                <w:szCs w:val="24"/>
                              </w:rPr>
                              <w:drawing>
                                <wp:inline distT="0" distB="0" distL="0" distR="0" wp14:anchorId="3A66306D" wp14:editId="7D5C96BE">
                                  <wp:extent cx="5624466" cy="54610"/>
                                  <wp:effectExtent l="0" t="0" r="0" b="2540"/>
                                  <wp:docPr id="3264999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5786286" cy="561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68F90" id="_x0000_t202" coordsize="21600,21600" o:spt="202" path="m,l,21600r21600,l21600,xe">
                <v:stroke joinstyle="miter"/>
                <v:path gradientshapeok="t" o:connecttype="rect"/>
              </v:shapetype>
              <v:shape id="Text Box 4" o:spid="_x0000_s1031" type="#_x0000_t202" style="position:absolute;margin-left:9.6pt;margin-top:473.4pt;width:447.75pt;height:199.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OnMwIAAFwEAAAOAAAAZHJzL2Uyb0RvYy54bWysVEuP2jAQvlfqf7B8L4EsUBYRVpQVVSW0&#10;uxJb7dk4NrHkeFzbkNBf37HDq9ueql6cGc94Ht83k9lDW2tyEM4rMAUd9PqUCMOhVGZX0O+vq08T&#10;SnxgpmQajCjoUXj6MP/4YdbYqcihAl0KRzCI8dPGFrQKwU6zzPNK1Mz3wAqDRgmuZgFVt8tKxxqM&#10;Xuss7/fHWQOutA648B5vHzsjnaf4UgoenqX0IhBdUKwtpNOlcxvPbD5j051jtlL8VAb7hypqpgwm&#10;vYR6ZIGRvVN/hKoVd+BBhh6HOgMpFRepB+xm0H/XzaZiVqReEBxvLzD5/xeWPx029sWR0H6BFgmM&#10;gDTWTz1exn5a6er4xUoJ2hHC4wU20QbC8XI0noyH+YgSjrZ8lN9PhgnY7PrcOh++CqhJFArqkJcE&#10;FzusfcCU6Hp2idk8aFWulNZJibMgltqRA0MWdUhF4ovfvLQhTUHHd6N+CmwgPu8ia4MJrk1FKbTb&#10;lqiyoHfnhrdQHhEHB92IeMtXCmtdMx9emMOZwNZxzsMzHlID5oKTREkF7uff7qM/UoVWShqcsYL6&#10;H3vmBCX6m0ES7wdDRIqEpAxHn3NU3K1le2sx+3oJCMAAN8ryJEb/oM+idFC/4TosYlY0McMxd0HD&#10;WVyGbvJxnbhYLJITjqFlYW02lsfQEfDIxGv7xpw90RWQ6Sc4TyObvmOt840vDSz2AaRKlEacO1RP&#10;8OMIJ6ZP6xZ35FZPXtefwvwXAAAA//8DAFBLAwQUAAYACAAAACEAFjSTz+EAAAALAQAADwAAAGRy&#10;cy9kb3ducmV2LnhtbEyPS0+EQBCE7yb+h0mbeDHusLAPQYaNMT4Sby4+4m2WaYHI9BBmFvDf2570&#10;WKlK1Vf5bradGHHwrSMFy0UEAqlypqVawUt5f3kFwgdNRneOUME3etgVpye5zoyb6BnHfagFl5DP&#10;tIImhD6T0lcNWu0Xrkdi79MNVgeWQy3NoCcut52Mo2gjrW6JFxrd422D1df+aBV8XNTvT35+eJ2S&#10;ddLfPY7l9s2USp2fzTfXIALO4S8Mv/iMDgUzHdyRjBcd6zTmpIJ0teELHEiXqy2IAzvJah2DLHL5&#10;/0PxAwAA//8DAFBLAQItABQABgAIAAAAIQC2gziS/gAAAOEBAAATAAAAAAAAAAAAAAAAAAAAAABb&#10;Q29udGVudF9UeXBlc10ueG1sUEsBAi0AFAAGAAgAAAAhADj9If/WAAAAlAEAAAsAAAAAAAAAAAAA&#10;AAAALwEAAF9yZWxzLy5yZWxzUEsBAi0AFAAGAAgAAAAhAH1w86czAgAAXAQAAA4AAAAAAAAAAAAA&#10;AAAALgIAAGRycy9lMm9Eb2MueG1sUEsBAi0AFAAGAAgAAAAhABY0k8/hAAAACwEAAA8AAAAAAAAA&#10;AAAAAAAAjQQAAGRycy9kb3ducmV2LnhtbFBLBQYAAAAABAAEAPMAAACbBQAAAAA=&#10;" fillcolor="white [3201]" stroked="f" strokeweight=".5pt">
                <v:textbox>
                  <w:txbxContent>
                    <w:p w14:paraId="737FD0EF" w14:textId="77777777" w:rsidR="00A009FA" w:rsidRDefault="00A009FA" w:rsidP="00A009FA">
                      <w:pPr>
                        <w:rPr>
                          <w:rFonts w:ascii="Arial" w:hAnsi="Arial" w:cs="Arial"/>
                          <w:i/>
                          <w:iCs/>
                          <w:noProof/>
                          <w:sz w:val="24"/>
                          <w:szCs w:val="24"/>
                        </w:rPr>
                      </w:pPr>
                      <w:r w:rsidRPr="00A009FA">
                        <w:rPr>
                          <w:rFonts w:ascii="Arial" w:hAnsi="Arial" w:cs="Arial"/>
                          <w:i/>
                          <w:iCs/>
                          <w:noProof/>
                          <w:sz w:val="24"/>
                          <w:szCs w:val="24"/>
                        </w:rPr>
                        <w:drawing>
                          <wp:inline distT="0" distB="0" distL="0" distR="0" wp14:anchorId="3A18D6A8" wp14:editId="65EFC505">
                            <wp:extent cx="5624466" cy="54610"/>
                            <wp:effectExtent l="0" t="0" r="0" b="2540"/>
                            <wp:docPr id="2541290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V="1">
                                      <a:off x="0" y="0"/>
                                      <a:ext cx="5786286" cy="56181"/>
                                    </a:xfrm>
                                    <a:prstGeom prst="rect">
                                      <a:avLst/>
                                    </a:prstGeom>
                                    <a:noFill/>
                                    <a:ln>
                                      <a:noFill/>
                                    </a:ln>
                                  </pic:spPr>
                                </pic:pic>
                              </a:graphicData>
                            </a:graphic>
                          </wp:inline>
                        </w:drawing>
                      </w:r>
                    </w:p>
                    <w:p w14:paraId="097F4CE0" w14:textId="77777777" w:rsidR="009F4399" w:rsidRPr="00D10515" w:rsidRDefault="009F4399" w:rsidP="00A009FA">
                      <w:pPr>
                        <w:jc w:val="center"/>
                        <w:rPr>
                          <w:rFonts w:ascii="Verdana" w:hAnsi="Verdana" w:cs="Arial"/>
                          <w:i/>
                          <w:iCs/>
                        </w:rPr>
                      </w:pPr>
                      <w:r w:rsidRPr="00D10515">
                        <w:rPr>
                          <w:rFonts w:ascii="Verdana" w:hAnsi="Verdana" w:cs="Arial"/>
                          <w:i/>
                          <w:iCs/>
                        </w:rPr>
                        <w:t>This document has been published by Nuneaton and Bedworth Borough Council</w:t>
                      </w:r>
                    </w:p>
                    <w:p w14:paraId="73B4DE27" w14:textId="65AD5087" w:rsidR="00A009FA" w:rsidRPr="00D10515" w:rsidRDefault="00D10515" w:rsidP="00A009FA">
                      <w:pPr>
                        <w:jc w:val="center"/>
                        <w:rPr>
                          <w:rFonts w:ascii="Verdana" w:hAnsi="Verdana" w:cs="Arial"/>
                          <w:i/>
                          <w:iCs/>
                          <w:color w:val="FF0000"/>
                        </w:rPr>
                      </w:pPr>
                      <w:r w:rsidRPr="00D10515">
                        <w:rPr>
                          <w:rFonts w:ascii="Verdana" w:hAnsi="Verdana" w:cs="Arial"/>
                          <w:i/>
                          <w:iCs/>
                          <w:color w:val="FF0000"/>
                        </w:rPr>
                        <w:t>1 July 2025</w:t>
                      </w:r>
                    </w:p>
                    <w:p w14:paraId="588B210E" w14:textId="425090A3" w:rsidR="00D10515" w:rsidRPr="00D10515" w:rsidRDefault="00D10515" w:rsidP="00D10515">
                      <w:pPr>
                        <w:jc w:val="center"/>
                        <w:rPr>
                          <w:rFonts w:ascii="Verdana" w:hAnsi="Verdana" w:cs="Arial"/>
                          <w:i/>
                          <w:iCs/>
                        </w:rPr>
                      </w:pPr>
                      <w:r w:rsidRPr="00D10515">
                        <w:rPr>
                          <w:rFonts w:ascii="Verdana" w:hAnsi="Verdana" w:cs="Arial"/>
                          <w:i/>
                          <w:iCs/>
                        </w:rPr>
                        <w:t>02476 376 406 (Housing)</w:t>
                      </w:r>
                    </w:p>
                    <w:p w14:paraId="3B992620" w14:textId="67CBD44A" w:rsidR="00A009FA" w:rsidRPr="00D10515" w:rsidRDefault="00D10515" w:rsidP="00D10515">
                      <w:pPr>
                        <w:jc w:val="center"/>
                        <w:rPr>
                          <w:rFonts w:ascii="Verdana" w:hAnsi="Verdana" w:cs="Arial"/>
                          <w:i/>
                          <w:iCs/>
                        </w:rPr>
                      </w:pPr>
                      <w:hyperlink r:id="rId15" w:history="1">
                        <w:r w:rsidRPr="00E51848">
                          <w:rPr>
                            <w:rStyle w:val="Hyperlink"/>
                            <w:rFonts w:ascii="Verdana" w:hAnsi="Verdana" w:cs="Arial"/>
                            <w:i/>
                            <w:iCs/>
                          </w:rPr>
                          <w:t>tenancy.officers@nuneatonandbedworth.gov.uk</w:t>
                        </w:r>
                      </w:hyperlink>
                      <w:r w:rsidRPr="00D10515">
                        <w:rPr>
                          <w:rFonts w:ascii="Verdana" w:hAnsi="Verdana" w:cs="Arial"/>
                          <w:i/>
                          <w:iCs/>
                        </w:rPr>
                        <w:t xml:space="preserve"> </w:t>
                      </w:r>
                    </w:p>
                    <w:p w14:paraId="7D58685F" w14:textId="77777777" w:rsidR="00A009FA" w:rsidRPr="009F4399" w:rsidRDefault="00A009FA" w:rsidP="00A009FA">
                      <w:pPr>
                        <w:jc w:val="center"/>
                        <w:rPr>
                          <w:rFonts w:ascii="Arial" w:hAnsi="Arial" w:cs="Arial"/>
                          <w:i/>
                          <w:iCs/>
                          <w:sz w:val="24"/>
                          <w:szCs w:val="24"/>
                        </w:rPr>
                      </w:pPr>
                      <w:r w:rsidRPr="00A009FA">
                        <w:rPr>
                          <w:rFonts w:ascii="Arial" w:hAnsi="Arial" w:cs="Arial"/>
                          <w:i/>
                          <w:iCs/>
                          <w:noProof/>
                          <w:sz w:val="24"/>
                          <w:szCs w:val="24"/>
                        </w:rPr>
                        <w:drawing>
                          <wp:inline distT="0" distB="0" distL="0" distR="0" wp14:anchorId="3A66306D" wp14:editId="7D5C96BE">
                            <wp:extent cx="5624466" cy="54610"/>
                            <wp:effectExtent l="0" t="0" r="0" b="2540"/>
                            <wp:docPr id="3264999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V="1">
                                      <a:off x="0" y="0"/>
                                      <a:ext cx="5786286" cy="56181"/>
                                    </a:xfrm>
                                    <a:prstGeom prst="rect">
                                      <a:avLst/>
                                    </a:prstGeom>
                                    <a:noFill/>
                                    <a:ln>
                                      <a:noFill/>
                                    </a:ln>
                                  </pic:spPr>
                                </pic:pic>
                              </a:graphicData>
                            </a:graphic>
                          </wp:inline>
                        </w:drawing>
                      </w:r>
                    </w:p>
                  </w:txbxContent>
                </v:textbox>
                <w10:wrap anchorx="margin"/>
              </v:shape>
            </w:pict>
          </mc:Fallback>
        </mc:AlternateContent>
      </w:r>
    </w:p>
    <w:p w14:paraId="381C0A54" w14:textId="77777777" w:rsidR="00F54062" w:rsidRPr="00F54062" w:rsidRDefault="00F54062" w:rsidP="00F54062">
      <w:pPr>
        <w:rPr>
          <w:rFonts w:ascii="Arial" w:hAnsi="Arial" w:cs="Arial"/>
          <w:sz w:val="24"/>
          <w:szCs w:val="24"/>
        </w:rPr>
      </w:pPr>
    </w:p>
    <w:p w14:paraId="7146FFC3" w14:textId="77777777" w:rsidR="00F54062" w:rsidRPr="00F54062" w:rsidRDefault="00F54062" w:rsidP="00F54062">
      <w:pPr>
        <w:rPr>
          <w:rFonts w:ascii="Arial" w:hAnsi="Arial" w:cs="Arial"/>
          <w:sz w:val="24"/>
          <w:szCs w:val="24"/>
        </w:rPr>
      </w:pPr>
    </w:p>
    <w:p w14:paraId="58FC2DD4" w14:textId="77777777" w:rsidR="00F54062" w:rsidRPr="00F54062" w:rsidRDefault="00F54062" w:rsidP="00F54062">
      <w:pPr>
        <w:rPr>
          <w:rFonts w:ascii="Arial" w:hAnsi="Arial" w:cs="Arial"/>
          <w:sz w:val="24"/>
          <w:szCs w:val="24"/>
        </w:rPr>
      </w:pPr>
    </w:p>
    <w:p w14:paraId="3B3719E4" w14:textId="77777777" w:rsidR="00F54062" w:rsidRPr="00F54062" w:rsidRDefault="00F54062" w:rsidP="00F54062">
      <w:pPr>
        <w:rPr>
          <w:rFonts w:ascii="Arial" w:hAnsi="Arial" w:cs="Arial"/>
          <w:sz w:val="24"/>
          <w:szCs w:val="24"/>
        </w:rPr>
      </w:pPr>
    </w:p>
    <w:p w14:paraId="476833DB" w14:textId="77777777" w:rsidR="00F54062" w:rsidRPr="00F54062" w:rsidRDefault="00F54062" w:rsidP="00F54062">
      <w:pPr>
        <w:rPr>
          <w:rFonts w:ascii="Arial" w:hAnsi="Arial" w:cs="Arial"/>
          <w:sz w:val="24"/>
          <w:szCs w:val="24"/>
        </w:rPr>
      </w:pPr>
    </w:p>
    <w:p w14:paraId="4C9DAF76" w14:textId="77777777" w:rsidR="00F54062" w:rsidRPr="00F54062" w:rsidRDefault="00F54062" w:rsidP="00F54062">
      <w:pPr>
        <w:rPr>
          <w:rFonts w:ascii="Arial" w:hAnsi="Arial" w:cs="Arial"/>
          <w:sz w:val="24"/>
          <w:szCs w:val="24"/>
        </w:rPr>
      </w:pPr>
    </w:p>
    <w:p w14:paraId="1FE3E6C4" w14:textId="77777777" w:rsidR="00F54062" w:rsidRPr="00F54062" w:rsidRDefault="00F54062" w:rsidP="00F54062">
      <w:pPr>
        <w:rPr>
          <w:rFonts w:ascii="Arial" w:hAnsi="Arial" w:cs="Arial"/>
          <w:sz w:val="24"/>
          <w:szCs w:val="24"/>
        </w:rPr>
      </w:pPr>
    </w:p>
    <w:p w14:paraId="1E4BD434" w14:textId="77777777" w:rsidR="00F54062" w:rsidRPr="00F54062" w:rsidRDefault="00F54062" w:rsidP="00F54062">
      <w:pPr>
        <w:rPr>
          <w:rFonts w:ascii="Arial" w:hAnsi="Arial" w:cs="Arial"/>
          <w:sz w:val="24"/>
          <w:szCs w:val="24"/>
        </w:rPr>
      </w:pPr>
    </w:p>
    <w:p w14:paraId="6E0EB927" w14:textId="77777777" w:rsidR="00F54062" w:rsidRPr="00F54062" w:rsidRDefault="00F54062" w:rsidP="00F54062">
      <w:pPr>
        <w:rPr>
          <w:rFonts w:ascii="Arial" w:hAnsi="Arial" w:cs="Arial"/>
          <w:sz w:val="24"/>
          <w:szCs w:val="24"/>
        </w:rPr>
      </w:pPr>
    </w:p>
    <w:p w14:paraId="5E8E506D" w14:textId="49E5CD31" w:rsidR="00F54062" w:rsidRPr="00F54062" w:rsidRDefault="00F54062" w:rsidP="00F54062">
      <w:pPr>
        <w:tabs>
          <w:tab w:val="left" w:pos="3900"/>
        </w:tabs>
        <w:rPr>
          <w:rFonts w:ascii="Arial" w:hAnsi="Arial" w:cs="Arial"/>
          <w:sz w:val="24"/>
          <w:szCs w:val="24"/>
        </w:rPr>
      </w:pPr>
    </w:p>
    <w:sectPr w:rsidR="00F54062" w:rsidRPr="00F54062" w:rsidSect="00BE746E">
      <w:headerReference w:type="even" r:id="rId16"/>
      <w:headerReference w:type="default" r:id="rId17"/>
      <w:footerReference w:type="default" r:id="rId18"/>
      <w:headerReference w:type="first" r:id="rId19"/>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4DC1B" w14:textId="77777777" w:rsidR="005C31C3" w:rsidRDefault="005C31C3" w:rsidP="007C7613">
      <w:pPr>
        <w:spacing w:after="0" w:line="240" w:lineRule="auto"/>
      </w:pPr>
      <w:r>
        <w:separator/>
      </w:r>
    </w:p>
  </w:endnote>
  <w:endnote w:type="continuationSeparator" w:id="0">
    <w:p w14:paraId="3421B39D" w14:textId="77777777" w:rsidR="005C31C3" w:rsidRDefault="005C31C3" w:rsidP="007C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3B94" w14:textId="44CA7240" w:rsidR="00BE746E" w:rsidRPr="00BE746E" w:rsidRDefault="0060316A" w:rsidP="00D10515">
    <w:pPr>
      <w:pStyle w:val="Footer"/>
      <w:jc w:val="center"/>
      <w:rPr>
        <w:rFonts w:ascii="Arial" w:hAnsi="Arial" w:cs="Arial"/>
        <w:sz w:val="20"/>
        <w:szCs w:val="20"/>
      </w:rPr>
    </w:pPr>
    <w:r>
      <w:rPr>
        <w:rFonts w:ascii="Arial" w:hAnsi="Arial" w:cs="Arial"/>
        <w:sz w:val="20"/>
        <w:szCs w:val="20"/>
      </w:rPr>
      <w:t>Management Move</w:t>
    </w:r>
    <w:r w:rsidR="00D10515">
      <w:rPr>
        <w:rFonts w:ascii="Arial" w:hAnsi="Arial" w:cs="Arial"/>
        <w:sz w:val="20"/>
        <w:szCs w:val="20"/>
      </w:rPr>
      <w:t xml:space="preserve"> Policy 2025</w:t>
    </w:r>
  </w:p>
  <w:p w14:paraId="1A622981" w14:textId="6D818CBA" w:rsidR="00D10515" w:rsidRDefault="00D10515" w:rsidP="00D10515">
    <w:pPr>
      <w:pStyle w:val="Footer"/>
      <w:jc w:val="center"/>
      <w:rPr>
        <w:rFonts w:ascii="Arial" w:hAnsi="Arial" w:cs="Arial"/>
        <w:sz w:val="20"/>
        <w:szCs w:val="20"/>
      </w:rPr>
    </w:pPr>
    <w:hyperlink r:id="rId1" w:history="1">
      <w:r w:rsidRPr="00E51848">
        <w:rPr>
          <w:rStyle w:val="Hyperlink"/>
          <w:rFonts w:ascii="Arial" w:hAnsi="Arial" w:cs="Arial"/>
          <w:sz w:val="20"/>
          <w:szCs w:val="20"/>
        </w:rPr>
        <w:t>www.nuneatonandbedworth.gov.uk</w:t>
      </w:r>
    </w:hyperlink>
  </w:p>
  <w:p w14:paraId="56E08643" w14:textId="1DF6A69A" w:rsidR="007C7613" w:rsidRPr="00BE746E" w:rsidRDefault="00BE746E" w:rsidP="00D10515">
    <w:pPr>
      <w:pStyle w:val="Footer"/>
      <w:jc w:val="right"/>
      <w:rPr>
        <w:rFonts w:ascii="Arial" w:hAnsi="Arial" w:cs="Arial"/>
        <w:sz w:val="20"/>
        <w:szCs w:val="20"/>
      </w:rPr>
    </w:pPr>
    <w:r>
      <w:rPr>
        <w:rFonts w:ascii="Arial" w:hAnsi="Arial" w:cs="Arial"/>
        <w:sz w:val="20"/>
        <w:szCs w:val="20"/>
      </w:rPr>
      <w:tab/>
    </w:r>
    <w:sdt>
      <w:sdtPr>
        <w:id w:val="400490248"/>
        <w:docPartObj>
          <w:docPartGallery w:val="Page Numbers (Bottom of Page)"/>
          <w:docPartUnique/>
        </w:docPartObj>
      </w:sdtPr>
      <w:sdtEndPr>
        <w:rPr>
          <w:rFonts w:ascii="Arial" w:hAnsi="Arial" w:cs="Arial"/>
          <w:sz w:val="20"/>
          <w:szCs w:val="20"/>
        </w:rPr>
      </w:sdtEndPr>
      <w:sdtContent>
        <w:r w:rsidRPr="00BE746E">
          <w:rPr>
            <w:rFonts w:ascii="Arial" w:hAnsi="Arial" w:cs="Arial"/>
            <w:sz w:val="20"/>
            <w:szCs w:val="20"/>
          </w:rPr>
          <w:fldChar w:fldCharType="begin"/>
        </w:r>
        <w:r w:rsidRPr="00BE746E">
          <w:rPr>
            <w:rFonts w:ascii="Arial" w:hAnsi="Arial" w:cs="Arial"/>
            <w:sz w:val="20"/>
            <w:szCs w:val="20"/>
          </w:rPr>
          <w:instrText>PAGE   \* MERGEFORMAT</w:instrText>
        </w:r>
        <w:r w:rsidRPr="00BE746E">
          <w:rPr>
            <w:rFonts w:ascii="Arial" w:hAnsi="Arial" w:cs="Arial"/>
            <w:sz w:val="20"/>
            <w:szCs w:val="20"/>
          </w:rPr>
          <w:fldChar w:fldCharType="separate"/>
        </w:r>
        <w:r>
          <w:rPr>
            <w:rFonts w:ascii="Arial" w:hAnsi="Arial" w:cs="Arial"/>
            <w:sz w:val="20"/>
            <w:szCs w:val="20"/>
          </w:rPr>
          <w:t>1</w:t>
        </w:r>
        <w:r w:rsidRPr="00BE746E">
          <w:rPr>
            <w:rFonts w:ascii="Arial" w:hAnsi="Arial" w:cs="Arial"/>
            <w:sz w:val="20"/>
            <w:szCs w:val="20"/>
          </w:rPr>
          <w:fldChar w:fldCharType="end"/>
        </w:r>
      </w:sdtContent>
    </w:sdt>
  </w:p>
  <w:p w14:paraId="7E8BAEF3" w14:textId="301238BC" w:rsidR="007C7613" w:rsidRPr="00BE746E" w:rsidRDefault="007C7613">
    <w:pPr>
      <w:pStyle w:val="Footer"/>
      <w:rPr>
        <w:rFonts w:ascii="Arial" w:hAnsi="Arial" w:cs="Arial"/>
        <w:sz w:val="20"/>
        <w:szCs w:val="20"/>
      </w:rPr>
    </w:pPr>
    <w:r w:rsidRPr="00BE746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088B4" w14:textId="77777777" w:rsidR="005C31C3" w:rsidRDefault="005C31C3" w:rsidP="007C7613">
      <w:pPr>
        <w:spacing w:after="0" w:line="240" w:lineRule="auto"/>
      </w:pPr>
      <w:r>
        <w:separator/>
      </w:r>
    </w:p>
  </w:footnote>
  <w:footnote w:type="continuationSeparator" w:id="0">
    <w:p w14:paraId="220E9680" w14:textId="77777777" w:rsidR="005C31C3" w:rsidRDefault="005C31C3" w:rsidP="007C7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CA21" w14:textId="6D6366C5" w:rsidR="00D10515" w:rsidRDefault="00000000">
    <w:pPr>
      <w:pStyle w:val="Header"/>
    </w:pPr>
    <w:r>
      <w:rPr>
        <w:noProof/>
      </w:rPr>
      <w:pict w14:anchorId="17F6A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391" o:spid="_x0000_s1029" type="#_x0000_t136" style="position:absolute;margin-left:0;margin-top:0;width:549.9pt;height:109.95pt;rotation:315;z-index:-251655168;mso-position-horizontal:center;mso-position-horizontal-relative:margin;mso-position-vertical:center;mso-position-vertical-relative:margin" o:allowincell="f" fillcolor="#ff7c80" stroked="f">
          <v:fill opacity=".5"/>
          <v:textpath style="font-family:&quot;Verdana&quot;;font-size:1pt" string="D R A F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EB9B" w14:textId="138D2A64" w:rsidR="00D10515" w:rsidRDefault="00000000">
    <w:pPr>
      <w:pStyle w:val="Header"/>
    </w:pPr>
    <w:r>
      <w:rPr>
        <w:noProof/>
      </w:rPr>
      <w:pict w14:anchorId="0A73B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392" o:spid="_x0000_s1030" type="#_x0000_t136" style="position:absolute;margin-left:0;margin-top:0;width:549.9pt;height:109.95pt;rotation:315;z-index:-251653120;mso-position-horizontal:center;mso-position-horizontal-relative:margin;mso-position-vertical:center;mso-position-vertical-relative:margin" o:allowincell="f" fillcolor="#ff7c80" stroked="f">
          <v:fill opacity=".5"/>
          <v:textpath style="font-family:&quot;Verdana&quot;;font-size:1pt" string="D R A F 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FD2B" w14:textId="689208A7" w:rsidR="00D10515" w:rsidRDefault="00000000">
    <w:pPr>
      <w:pStyle w:val="Header"/>
    </w:pPr>
    <w:r>
      <w:rPr>
        <w:noProof/>
      </w:rPr>
      <w:pict w14:anchorId="0B842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390" o:spid="_x0000_s1028" type="#_x0000_t136" style="position:absolute;margin-left:0;margin-top:0;width:549.9pt;height:109.95pt;rotation:315;z-index:-251657216;mso-position-horizontal:center;mso-position-horizontal-relative:margin;mso-position-vertical:center;mso-position-vertical-relative:margin" o:allowincell="f" fillcolor="#ff7c80" stroked="f">
          <v:fill opacity=".5"/>
          <v:textpath style="font-family:&quot;Verdana&quot;;font-size:1pt" string="D R A F 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E5E"/>
    <w:multiLevelType w:val="hybridMultilevel"/>
    <w:tmpl w:val="DB8A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50938"/>
    <w:multiLevelType w:val="hybridMultilevel"/>
    <w:tmpl w:val="D4926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70E34"/>
    <w:multiLevelType w:val="hybridMultilevel"/>
    <w:tmpl w:val="22D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521B2"/>
    <w:multiLevelType w:val="hybridMultilevel"/>
    <w:tmpl w:val="A32A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13E7C"/>
    <w:multiLevelType w:val="hybridMultilevel"/>
    <w:tmpl w:val="9506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80A3E"/>
    <w:multiLevelType w:val="hybridMultilevel"/>
    <w:tmpl w:val="27487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7212D"/>
    <w:multiLevelType w:val="hybridMultilevel"/>
    <w:tmpl w:val="FE88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843D6"/>
    <w:multiLevelType w:val="hybridMultilevel"/>
    <w:tmpl w:val="7B76D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540DB"/>
    <w:multiLevelType w:val="hybridMultilevel"/>
    <w:tmpl w:val="A4968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E374C"/>
    <w:multiLevelType w:val="hybridMultilevel"/>
    <w:tmpl w:val="911A39C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0" w15:restartNumberingAfterBreak="0">
    <w:nsid w:val="28076004"/>
    <w:multiLevelType w:val="hybridMultilevel"/>
    <w:tmpl w:val="9D7AE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54C3C"/>
    <w:multiLevelType w:val="hybridMultilevel"/>
    <w:tmpl w:val="DB4A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6D09A1"/>
    <w:multiLevelType w:val="hybridMultilevel"/>
    <w:tmpl w:val="51A8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46D3F"/>
    <w:multiLevelType w:val="hybridMultilevel"/>
    <w:tmpl w:val="BB76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F43782"/>
    <w:multiLevelType w:val="hybridMultilevel"/>
    <w:tmpl w:val="6A2C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570781"/>
    <w:multiLevelType w:val="hybridMultilevel"/>
    <w:tmpl w:val="07F6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55243"/>
    <w:multiLevelType w:val="hybridMultilevel"/>
    <w:tmpl w:val="1276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B6BE4"/>
    <w:multiLevelType w:val="hybridMultilevel"/>
    <w:tmpl w:val="C732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30AE5"/>
    <w:multiLevelType w:val="hybridMultilevel"/>
    <w:tmpl w:val="6006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B32C27"/>
    <w:multiLevelType w:val="hybridMultilevel"/>
    <w:tmpl w:val="0AFA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201338"/>
    <w:multiLevelType w:val="hybridMultilevel"/>
    <w:tmpl w:val="025E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767B3F"/>
    <w:multiLevelType w:val="hybridMultilevel"/>
    <w:tmpl w:val="F608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9534A"/>
    <w:multiLevelType w:val="hybridMultilevel"/>
    <w:tmpl w:val="0C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96707A"/>
    <w:multiLevelType w:val="hybridMultilevel"/>
    <w:tmpl w:val="76507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5416554">
    <w:abstractNumId w:val="18"/>
  </w:num>
  <w:num w:numId="2" w16cid:durableId="169031769">
    <w:abstractNumId w:val="22"/>
  </w:num>
  <w:num w:numId="3" w16cid:durableId="2035110463">
    <w:abstractNumId w:val="6"/>
  </w:num>
  <w:num w:numId="4" w16cid:durableId="1693605872">
    <w:abstractNumId w:val="14"/>
  </w:num>
  <w:num w:numId="5" w16cid:durableId="1122462457">
    <w:abstractNumId w:val="7"/>
  </w:num>
  <w:num w:numId="6" w16cid:durableId="1963880409">
    <w:abstractNumId w:val="10"/>
  </w:num>
  <w:num w:numId="7" w16cid:durableId="1720546498">
    <w:abstractNumId w:val="4"/>
  </w:num>
  <w:num w:numId="8" w16cid:durableId="575169454">
    <w:abstractNumId w:val="15"/>
  </w:num>
  <w:num w:numId="9" w16cid:durableId="2071923213">
    <w:abstractNumId w:val="12"/>
  </w:num>
  <w:num w:numId="10" w16cid:durableId="1005130614">
    <w:abstractNumId w:val="16"/>
  </w:num>
  <w:num w:numId="11" w16cid:durableId="1846675199">
    <w:abstractNumId w:val="1"/>
  </w:num>
  <w:num w:numId="12" w16cid:durableId="1067653185">
    <w:abstractNumId w:val="8"/>
  </w:num>
  <w:num w:numId="13" w16cid:durableId="1226918526">
    <w:abstractNumId w:val="21"/>
  </w:num>
  <w:num w:numId="14" w16cid:durableId="1776320059">
    <w:abstractNumId w:val="20"/>
  </w:num>
  <w:num w:numId="15" w16cid:durableId="1778938226">
    <w:abstractNumId w:val="23"/>
  </w:num>
  <w:num w:numId="16" w16cid:durableId="1785953395">
    <w:abstractNumId w:val="5"/>
  </w:num>
  <w:num w:numId="17" w16cid:durableId="1466006367">
    <w:abstractNumId w:val="17"/>
  </w:num>
  <w:num w:numId="18" w16cid:durableId="233779411">
    <w:abstractNumId w:val="13"/>
  </w:num>
  <w:num w:numId="19" w16cid:durableId="1607154789">
    <w:abstractNumId w:val="11"/>
  </w:num>
  <w:num w:numId="20" w16cid:durableId="258102020">
    <w:abstractNumId w:val="0"/>
  </w:num>
  <w:num w:numId="21" w16cid:durableId="620039239">
    <w:abstractNumId w:val="9"/>
  </w:num>
  <w:num w:numId="22" w16cid:durableId="212355268">
    <w:abstractNumId w:val="19"/>
  </w:num>
  <w:num w:numId="23" w16cid:durableId="1485585255">
    <w:abstractNumId w:val="3"/>
  </w:num>
  <w:num w:numId="24" w16cid:durableId="1508442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7F"/>
    <w:rsid w:val="00012B8D"/>
    <w:rsid w:val="00052075"/>
    <w:rsid w:val="000D5C7A"/>
    <w:rsid w:val="000F0785"/>
    <w:rsid w:val="001145B9"/>
    <w:rsid w:val="001171E7"/>
    <w:rsid w:val="0012520B"/>
    <w:rsid w:val="001409B8"/>
    <w:rsid w:val="001443A5"/>
    <w:rsid w:val="00161564"/>
    <w:rsid w:val="0019525C"/>
    <w:rsid w:val="001B6FA5"/>
    <w:rsid w:val="001E30A6"/>
    <w:rsid w:val="001F2692"/>
    <w:rsid w:val="0022233A"/>
    <w:rsid w:val="0023334D"/>
    <w:rsid w:val="002467BC"/>
    <w:rsid w:val="00263B45"/>
    <w:rsid w:val="00267406"/>
    <w:rsid w:val="002729AE"/>
    <w:rsid w:val="00290607"/>
    <w:rsid w:val="002C2C2F"/>
    <w:rsid w:val="002C30C0"/>
    <w:rsid w:val="002E0E56"/>
    <w:rsid w:val="002E61D5"/>
    <w:rsid w:val="00307A37"/>
    <w:rsid w:val="00313DDA"/>
    <w:rsid w:val="00315D82"/>
    <w:rsid w:val="00331498"/>
    <w:rsid w:val="00381C34"/>
    <w:rsid w:val="003867E9"/>
    <w:rsid w:val="0039188B"/>
    <w:rsid w:val="00394BA3"/>
    <w:rsid w:val="003A3722"/>
    <w:rsid w:val="003A37B6"/>
    <w:rsid w:val="003A52DE"/>
    <w:rsid w:val="003C4161"/>
    <w:rsid w:val="003C4BF8"/>
    <w:rsid w:val="003E5008"/>
    <w:rsid w:val="003F2733"/>
    <w:rsid w:val="003F799A"/>
    <w:rsid w:val="00415FA3"/>
    <w:rsid w:val="00425F1D"/>
    <w:rsid w:val="00431436"/>
    <w:rsid w:val="004577E0"/>
    <w:rsid w:val="004758AD"/>
    <w:rsid w:val="00483B19"/>
    <w:rsid w:val="004859FB"/>
    <w:rsid w:val="004A565D"/>
    <w:rsid w:val="004F017F"/>
    <w:rsid w:val="004F5075"/>
    <w:rsid w:val="00500578"/>
    <w:rsid w:val="005200E2"/>
    <w:rsid w:val="00531224"/>
    <w:rsid w:val="005417D9"/>
    <w:rsid w:val="00544D40"/>
    <w:rsid w:val="00544D82"/>
    <w:rsid w:val="00587E94"/>
    <w:rsid w:val="005937C0"/>
    <w:rsid w:val="005A7DA6"/>
    <w:rsid w:val="005C0525"/>
    <w:rsid w:val="005C31C3"/>
    <w:rsid w:val="005C6D80"/>
    <w:rsid w:val="0060316A"/>
    <w:rsid w:val="0060523C"/>
    <w:rsid w:val="00636D39"/>
    <w:rsid w:val="006432F3"/>
    <w:rsid w:val="0067477E"/>
    <w:rsid w:val="006862C7"/>
    <w:rsid w:val="006B1946"/>
    <w:rsid w:val="006B70B7"/>
    <w:rsid w:val="006D1ADF"/>
    <w:rsid w:val="006F567F"/>
    <w:rsid w:val="00700A12"/>
    <w:rsid w:val="00724EFA"/>
    <w:rsid w:val="00726243"/>
    <w:rsid w:val="0074164C"/>
    <w:rsid w:val="0075264C"/>
    <w:rsid w:val="0075494C"/>
    <w:rsid w:val="007C7613"/>
    <w:rsid w:val="00824D51"/>
    <w:rsid w:val="008264FD"/>
    <w:rsid w:val="00853620"/>
    <w:rsid w:val="008A3B0A"/>
    <w:rsid w:val="008B7A05"/>
    <w:rsid w:val="008F12D7"/>
    <w:rsid w:val="008F6BBD"/>
    <w:rsid w:val="0090173F"/>
    <w:rsid w:val="00906AD4"/>
    <w:rsid w:val="00912140"/>
    <w:rsid w:val="0092101D"/>
    <w:rsid w:val="00927686"/>
    <w:rsid w:val="0093338F"/>
    <w:rsid w:val="009840CD"/>
    <w:rsid w:val="009949AD"/>
    <w:rsid w:val="009A7793"/>
    <w:rsid w:val="009B4C8F"/>
    <w:rsid w:val="009C6D4E"/>
    <w:rsid w:val="009C6D6D"/>
    <w:rsid w:val="009E6F21"/>
    <w:rsid w:val="009F2AC2"/>
    <w:rsid w:val="009F4399"/>
    <w:rsid w:val="009F73FE"/>
    <w:rsid w:val="00A009FA"/>
    <w:rsid w:val="00A216EF"/>
    <w:rsid w:val="00A5073F"/>
    <w:rsid w:val="00A51E5C"/>
    <w:rsid w:val="00A53D29"/>
    <w:rsid w:val="00A5589B"/>
    <w:rsid w:val="00A71381"/>
    <w:rsid w:val="00A75ED2"/>
    <w:rsid w:val="00A80807"/>
    <w:rsid w:val="00AA61CD"/>
    <w:rsid w:val="00AB24C8"/>
    <w:rsid w:val="00AC084D"/>
    <w:rsid w:val="00AC0922"/>
    <w:rsid w:val="00AC20DC"/>
    <w:rsid w:val="00AD06CB"/>
    <w:rsid w:val="00AD26BF"/>
    <w:rsid w:val="00B30E9C"/>
    <w:rsid w:val="00B7596B"/>
    <w:rsid w:val="00B96713"/>
    <w:rsid w:val="00BD38F8"/>
    <w:rsid w:val="00BE746E"/>
    <w:rsid w:val="00BF220C"/>
    <w:rsid w:val="00C51352"/>
    <w:rsid w:val="00C5783C"/>
    <w:rsid w:val="00C8113F"/>
    <w:rsid w:val="00C85F6D"/>
    <w:rsid w:val="00C93FF0"/>
    <w:rsid w:val="00CC7565"/>
    <w:rsid w:val="00CC7946"/>
    <w:rsid w:val="00CD6D07"/>
    <w:rsid w:val="00CD7201"/>
    <w:rsid w:val="00CE3105"/>
    <w:rsid w:val="00CF3FB6"/>
    <w:rsid w:val="00CF57DC"/>
    <w:rsid w:val="00CF63A3"/>
    <w:rsid w:val="00CF6479"/>
    <w:rsid w:val="00CF6727"/>
    <w:rsid w:val="00D052FB"/>
    <w:rsid w:val="00D10515"/>
    <w:rsid w:val="00D24D0F"/>
    <w:rsid w:val="00D313E0"/>
    <w:rsid w:val="00D40C1E"/>
    <w:rsid w:val="00D53BB7"/>
    <w:rsid w:val="00D57C68"/>
    <w:rsid w:val="00D6454F"/>
    <w:rsid w:val="00D95266"/>
    <w:rsid w:val="00DA2CE7"/>
    <w:rsid w:val="00DA3253"/>
    <w:rsid w:val="00DA5066"/>
    <w:rsid w:val="00DD76E3"/>
    <w:rsid w:val="00DE063F"/>
    <w:rsid w:val="00DE0D7F"/>
    <w:rsid w:val="00DE2D7F"/>
    <w:rsid w:val="00DE7057"/>
    <w:rsid w:val="00DF212B"/>
    <w:rsid w:val="00E0110E"/>
    <w:rsid w:val="00E1135C"/>
    <w:rsid w:val="00E35C72"/>
    <w:rsid w:val="00E43E06"/>
    <w:rsid w:val="00E64453"/>
    <w:rsid w:val="00EB3547"/>
    <w:rsid w:val="00ED09D7"/>
    <w:rsid w:val="00EE401B"/>
    <w:rsid w:val="00EF5378"/>
    <w:rsid w:val="00F0721B"/>
    <w:rsid w:val="00F15ACE"/>
    <w:rsid w:val="00F235BC"/>
    <w:rsid w:val="00F36B06"/>
    <w:rsid w:val="00F54062"/>
    <w:rsid w:val="00FB6378"/>
    <w:rsid w:val="4330B5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70A5"/>
  <w15:chartTrackingRefBased/>
  <w15:docId w15:val="{2B136B2F-ADB9-45D3-A7EA-3D91E05E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99"/>
  </w:style>
  <w:style w:type="paragraph" w:styleId="Heading1">
    <w:name w:val="heading 1"/>
    <w:basedOn w:val="Normal"/>
    <w:next w:val="Normal"/>
    <w:link w:val="Heading1Char"/>
    <w:uiPriority w:val="9"/>
    <w:qFormat/>
    <w:rsid w:val="007C76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6F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61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C7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613"/>
  </w:style>
  <w:style w:type="paragraph" w:styleId="Footer">
    <w:name w:val="footer"/>
    <w:basedOn w:val="Normal"/>
    <w:link w:val="FooterChar"/>
    <w:uiPriority w:val="99"/>
    <w:unhideWhenUsed/>
    <w:rsid w:val="007C7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613"/>
  </w:style>
  <w:style w:type="paragraph" w:styleId="NoSpacing">
    <w:name w:val="No Spacing"/>
    <w:link w:val="NoSpacingChar"/>
    <w:uiPriority w:val="1"/>
    <w:qFormat/>
    <w:rsid w:val="00BE746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E746E"/>
    <w:rPr>
      <w:rFonts w:eastAsiaTheme="minorEastAsia"/>
      <w:lang w:val="en-US"/>
    </w:rPr>
  </w:style>
  <w:style w:type="character" w:customStyle="1" w:styleId="Heading2Char">
    <w:name w:val="Heading 2 Char"/>
    <w:basedOn w:val="DefaultParagraphFont"/>
    <w:link w:val="Heading2"/>
    <w:uiPriority w:val="9"/>
    <w:rsid w:val="001B6FA5"/>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B6FA5"/>
    <w:pPr>
      <w:outlineLvl w:val="9"/>
    </w:pPr>
    <w:rPr>
      <w:lang w:eastAsia="en-GB"/>
    </w:rPr>
  </w:style>
  <w:style w:type="paragraph" w:styleId="TOC1">
    <w:name w:val="toc 1"/>
    <w:basedOn w:val="Normal"/>
    <w:next w:val="Normal"/>
    <w:autoRedefine/>
    <w:uiPriority w:val="39"/>
    <w:unhideWhenUsed/>
    <w:rsid w:val="001B6FA5"/>
    <w:pPr>
      <w:spacing w:after="100"/>
    </w:pPr>
  </w:style>
  <w:style w:type="paragraph" w:styleId="TOC2">
    <w:name w:val="toc 2"/>
    <w:basedOn w:val="Normal"/>
    <w:next w:val="Normal"/>
    <w:autoRedefine/>
    <w:uiPriority w:val="39"/>
    <w:unhideWhenUsed/>
    <w:rsid w:val="001B6FA5"/>
    <w:pPr>
      <w:spacing w:after="100"/>
      <w:ind w:left="220"/>
    </w:pPr>
  </w:style>
  <w:style w:type="character" w:styleId="Hyperlink">
    <w:name w:val="Hyperlink"/>
    <w:basedOn w:val="DefaultParagraphFont"/>
    <w:uiPriority w:val="99"/>
    <w:unhideWhenUsed/>
    <w:rsid w:val="001B6FA5"/>
    <w:rPr>
      <w:color w:val="0563C1" w:themeColor="hyperlink"/>
      <w:u w:val="single"/>
    </w:rPr>
  </w:style>
  <w:style w:type="table" w:styleId="TableGrid">
    <w:name w:val="Table Grid"/>
    <w:basedOn w:val="TableNormal"/>
    <w:uiPriority w:val="59"/>
    <w:rsid w:val="001B6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0515"/>
    <w:rPr>
      <w:color w:val="605E5C"/>
      <w:shd w:val="clear" w:color="auto" w:fill="E1DFDD"/>
    </w:rPr>
  </w:style>
  <w:style w:type="paragraph" w:styleId="ListParagraph">
    <w:name w:val="List Paragraph"/>
    <w:basedOn w:val="Normal"/>
    <w:uiPriority w:val="34"/>
    <w:qFormat/>
    <w:rsid w:val="00726243"/>
    <w:pPr>
      <w:ind w:left="720"/>
      <w:contextualSpacing/>
    </w:pPr>
  </w:style>
  <w:style w:type="character" w:customStyle="1" w:styleId="ui-provider">
    <w:name w:val="ui-provider"/>
    <w:basedOn w:val="DefaultParagraphFont"/>
    <w:rsid w:val="003E5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082509">
      <w:bodyDiv w:val="1"/>
      <w:marLeft w:val="0"/>
      <w:marRight w:val="0"/>
      <w:marTop w:val="0"/>
      <w:marBottom w:val="0"/>
      <w:divBdr>
        <w:top w:val="none" w:sz="0" w:space="0" w:color="auto"/>
        <w:left w:val="none" w:sz="0" w:space="0" w:color="auto"/>
        <w:bottom w:val="none" w:sz="0" w:space="0" w:color="auto"/>
        <w:right w:val="none" w:sz="0" w:space="0" w:color="auto"/>
      </w:divBdr>
    </w:div>
    <w:div w:id="167733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nancy.officers@nuneatonandbedworth.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enancy.officers@nuneatonandbedworth.gov.uk"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emf"/></Relationships>
</file>

<file path=word/_rels/footer1.xml.rels><?xml version="1.0" encoding="UTF-8" standalone="yes"?>
<Relationships xmlns="http://schemas.openxmlformats.org/package/2006/relationships"><Relationship Id="rId1" Type="http://schemas.openxmlformats.org/officeDocument/2006/relationships/hyperlink" Target="http://www.nuneatonandbedworth.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lpo\Downloads\Corporate%20document%20template%2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2025-05-20T00:00:00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d76c6a7-45e3-49aa-8c80-faafc93fc42a" xsi:nil="true"/>
    <lcf76f155ced4ddcb4097134ff3c332f xmlns="b6181d70-7a83-40fe-a6aa-c58bb4f6830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2A15B1A69BE34A945456D367B99888" ma:contentTypeVersion="11" ma:contentTypeDescription="Create a new document." ma:contentTypeScope="" ma:versionID="2d2e3dcf0f18680777aa28b31a979ef8">
  <xsd:schema xmlns:xsd="http://www.w3.org/2001/XMLSchema" xmlns:xs="http://www.w3.org/2001/XMLSchema" xmlns:p="http://schemas.microsoft.com/office/2006/metadata/properties" xmlns:ns2="b6181d70-7a83-40fe-a6aa-c58bb4f6830c" xmlns:ns3="6d76c6a7-45e3-49aa-8c80-faafc93fc42a" targetNamespace="http://schemas.microsoft.com/office/2006/metadata/properties" ma:root="true" ma:fieldsID="5e7d7ed20acb1d80c227c2b4f6c6a5cb" ns2:_="" ns3:_="">
    <xsd:import namespace="b6181d70-7a83-40fe-a6aa-c58bb4f6830c"/>
    <xsd:import namespace="6d76c6a7-45e3-49aa-8c80-faafc93fc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81d70-7a83-40fe-a6aa-c58bb4f68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8065fc-fe8d-4f41-ba03-0f25e541eb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6c6a7-45e3-49aa-8c80-faafc93fc4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b7933b-cc64-4660-bd73-95d5563d4b1c}" ma:internalName="TaxCatchAll" ma:showField="CatchAllData" ma:web="6d76c6a7-45e3-49aa-8c80-faafc93fc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4794E-48A5-4814-808A-100480568AE5}">
  <ds:schemaRefs>
    <ds:schemaRef ds:uri="http://schemas.openxmlformats.org/officeDocument/2006/bibliography"/>
  </ds:schemaRefs>
</ds:datastoreItem>
</file>

<file path=customXml/itemProps3.xml><?xml version="1.0" encoding="utf-8"?>
<ds:datastoreItem xmlns:ds="http://schemas.openxmlformats.org/officeDocument/2006/customXml" ds:itemID="{0A68D87B-50D2-46A0-ABE4-54F78D0469C5}">
  <ds:schemaRefs>
    <ds:schemaRef ds:uri="http://schemas.microsoft.com/office/2006/metadata/properties"/>
    <ds:schemaRef ds:uri="http://schemas.microsoft.com/office/infopath/2007/PartnerControls"/>
    <ds:schemaRef ds:uri="6d76c6a7-45e3-49aa-8c80-faafc93fc42a"/>
    <ds:schemaRef ds:uri="b6181d70-7a83-40fe-a6aa-c58bb4f6830c"/>
  </ds:schemaRefs>
</ds:datastoreItem>
</file>

<file path=customXml/itemProps4.xml><?xml version="1.0" encoding="utf-8"?>
<ds:datastoreItem xmlns:ds="http://schemas.openxmlformats.org/officeDocument/2006/customXml" ds:itemID="{06359E10-04F1-4A70-B5BF-A27C41458E39}">
  <ds:schemaRefs>
    <ds:schemaRef ds:uri="http://schemas.microsoft.com/sharepoint/v3/contenttype/forms"/>
  </ds:schemaRefs>
</ds:datastoreItem>
</file>

<file path=customXml/itemProps5.xml><?xml version="1.0" encoding="utf-8"?>
<ds:datastoreItem xmlns:ds="http://schemas.openxmlformats.org/officeDocument/2006/customXml" ds:itemID="{282AEBCB-ED59-4E96-A227-522D3CD92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81d70-7a83-40fe-a6aa-c58bb4f6830c"/>
    <ds:schemaRef ds:uri="6d76c6a7-45e3-49aa-8c80-faafc93fc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Corporate document template A</Template>
  <TotalTime>395</TotalTime>
  <Pages>12</Pages>
  <Words>2802</Words>
  <Characters>15274</Characters>
  <Application>Microsoft Office Word</Application>
  <DocSecurity>0</DocSecurity>
  <Lines>557</Lines>
  <Paragraphs>267</Paragraphs>
  <ScaleCrop>false</ScaleCrop>
  <HeadingPairs>
    <vt:vector size="2" baseType="variant">
      <vt:variant>
        <vt:lpstr>Title</vt:lpstr>
      </vt:variant>
      <vt:variant>
        <vt:i4>1</vt:i4>
      </vt:variant>
    </vt:vector>
  </HeadingPairs>
  <TitlesOfParts>
    <vt:vector size="1" baseType="lpstr">
      <vt:lpstr/>
    </vt:vector>
  </TitlesOfParts>
  <Company>Nuneaton and Bedworth        Borough Council</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Housing &amp; Community Safety</dc:creator>
  <cp:keywords/>
  <dc:description/>
  <cp:lastModifiedBy>Kayleigh Garner</cp:lastModifiedBy>
  <cp:revision>103</cp:revision>
  <dcterms:created xsi:type="dcterms:W3CDTF">2025-06-04T16:36:00Z</dcterms:created>
  <dcterms:modified xsi:type="dcterms:W3CDTF">2025-12-11T19:42:00Z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0x0101006C2A15B1A69BE34A945456D367B99888</vt:lpwstr>
  </property>
</Properties>
</file>