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72373785"/>
        <w:docPartObj>
          <w:docPartGallery w:val="Cover Pages"/>
          <w:docPartUnique/>
        </w:docPartObj>
      </w:sdtPr>
      <w:sdtEndPr>
        <w:rPr>
          <w:rFonts w:ascii="Arial" w:hAnsi="Arial" w:cs="Arial"/>
          <w:b/>
          <w:bCs/>
        </w:rPr>
      </w:sdtEndPr>
      <w:sdtContent>
        <w:p w14:paraId="3E8BB42B" w14:textId="77777777" w:rsidR="00BE746E" w:rsidRDefault="00BE746E">
          <w:r>
            <w:rPr>
              <w:noProof/>
            </w:rPr>
            <mc:AlternateContent>
              <mc:Choice Requires="wpg">
                <w:drawing>
                  <wp:anchor distT="0" distB="0" distL="114300" distR="114300" simplePos="0" relativeHeight="251649535" behindDoc="0" locked="0" layoutInCell="1" allowOverlap="1" wp14:anchorId="09E1B7CA" wp14:editId="335485D8">
                    <wp:simplePos x="0" y="0"/>
                    <wp:positionH relativeFrom="page">
                      <wp:posOffset>4597400</wp:posOffset>
                    </wp:positionH>
                    <wp:positionV relativeFrom="page">
                      <wp:posOffset>0</wp:posOffset>
                    </wp:positionV>
                    <wp:extent cx="3155044" cy="10058400"/>
                    <wp:effectExtent l="0" t="0" r="7620" b="0"/>
                    <wp:wrapNone/>
                    <wp:docPr id="453" name="Group 453"/>
                    <wp:cNvGraphicFramePr/>
                    <a:graphic xmlns:a="http://schemas.openxmlformats.org/drawingml/2006/main">
                      <a:graphicData uri="http://schemas.microsoft.com/office/word/2010/wordprocessingGroup">
                        <wpg:wgp>
                          <wpg:cNvGrpSpPr/>
                          <wpg:grpSpPr>
                            <a:xfrm>
                              <a:off x="0" y="0"/>
                              <a:ext cx="3155044" cy="10058400"/>
                              <a:chOff x="-63500" y="0"/>
                              <a:chExt cx="3155044" cy="10058400"/>
                            </a:xfrm>
                          </wpg:grpSpPr>
                          <wps:wsp>
                            <wps:cNvPr id="460" name="Rectangle 460"/>
                            <wps:cNvSpPr>
                              <a:spLocks noChangeArrowheads="1"/>
                            </wps:cNvSpPr>
                            <wps:spPr bwMode="auto">
                              <a:xfrm>
                                <a:off x="-63500" y="0"/>
                                <a:ext cx="3155044" cy="10058400"/>
                              </a:xfrm>
                              <a:prstGeom prst="rect">
                                <a:avLst/>
                              </a:prstGeom>
                              <a:solidFill>
                                <a:srgbClr val="19653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49" y="0"/>
                                <a:ext cx="3002402"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Verdana" w:hAnsi="Verdana" w:cs="Arial"/>
                                      <w:b/>
                                      <w:bCs/>
                                      <w:color w:val="FFFFFF" w:themeColor="background1"/>
                                      <w:sz w:val="72"/>
                                      <w:szCs w:val="72"/>
                                    </w:rPr>
                                    <w:alias w:val="Year"/>
                                    <w:id w:val="1012341074"/>
                                    <w:dataBinding w:prefixMappings="xmlns:ns0='http://schemas.microsoft.com/office/2006/coverPageProps'" w:xpath="/ns0:CoverPageProperties[1]/ns0:PublishDate[1]" w:storeItemID="{55AF091B-3C7A-41E3-B477-F2FDAA23CFDA}"/>
                                    <w:date w:fullDate="2025-07-01T00:00:00Z">
                                      <w:dateFormat w:val="yyyy"/>
                                      <w:lid w:val="en-US"/>
                                      <w:storeMappedDataAs w:val="dateTime"/>
                                      <w:calendar w:val="gregorian"/>
                                    </w:date>
                                  </w:sdtPr>
                                  <w:sdtEndPr>
                                    <w:rPr>
                                      <w:color w:val="000000" w:themeColor="text1"/>
                                    </w:rPr>
                                  </w:sdtEndPr>
                                  <w:sdtContent>
                                    <w:p w14:paraId="6F83141A" w14:textId="77777777" w:rsidR="00BE746E" w:rsidRPr="0075264C" w:rsidRDefault="0075264C">
                                      <w:pPr>
                                        <w:pStyle w:val="NoSpacing"/>
                                        <w:rPr>
                                          <w:rFonts w:ascii="Verdana" w:hAnsi="Verdana" w:cs="Arial"/>
                                          <w:b/>
                                          <w:bCs/>
                                          <w:color w:val="000000" w:themeColor="text1"/>
                                          <w:sz w:val="72"/>
                                          <w:szCs w:val="72"/>
                                        </w:rPr>
                                      </w:pPr>
                                      <w:r>
                                        <w:rPr>
                                          <w:rFonts w:ascii="Verdana" w:hAnsi="Verdana" w:cs="Arial"/>
                                          <w:b/>
                                          <w:bCs/>
                                          <w:color w:val="FFFFFF" w:themeColor="background1"/>
                                          <w:sz w:val="72"/>
                                          <w:szCs w:val="72"/>
                                        </w:rPr>
                                        <w:t>2025</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Verdana" w:hAnsi="Verdana" w:cs="Arial"/>
                                      <w:color w:val="FFFFFF" w:themeColor="background1"/>
                                      <w:sz w:val="24"/>
                                      <w:szCs w:val="24"/>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2D2D0E25" w14:textId="5571A004" w:rsidR="00BE746E" w:rsidRPr="0075264C" w:rsidRDefault="00D10515">
                                      <w:pPr>
                                        <w:pStyle w:val="NoSpacing"/>
                                        <w:spacing w:line="360" w:lineRule="auto"/>
                                        <w:rPr>
                                          <w:rFonts w:ascii="Verdana" w:hAnsi="Verdana" w:cs="Arial"/>
                                          <w:color w:val="FFFFFF" w:themeColor="background1"/>
                                          <w:sz w:val="24"/>
                                          <w:szCs w:val="24"/>
                                        </w:rPr>
                                      </w:pPr>
                                      <w:r>
                                        <w:rPr>
                                          <w:rFonts w:ascii="Verdana" w:hAnsi="Verdana" w:cs="Arial"/>
                                          <w:color w:val="FFFFFF" w:themeColor="background1"/>
                                          <w:sz w:val="24"/>
                                          <w:szCs w:val="24"/>
                                        </w:rPr>
                                        <w:t>Housing &amp; Community Safety</w:t>
                                      </w:r>
                                    </w:p>
                                  </w:sdtContent>
                                </w:sdt>
                                <w:sdt>
                                  <w:sdtPr>
                                    <w:rPr>
                                      <w:rFonts w:ascii="Verdana" w:hAnsi="Verdana" w:cs="Arial"/>
                                      <w:color w:val="FFFFFF" w:themeColor="background1"/>
                                      <w:sz w:val="24"/>
                                      <w:szCs w:val="24"/>
                                    </w:rPr>
                                    <w:alias w:val="Company"/>
                                    <w:id w:val="1760174317"/>
                                    <w:dataBinding w:prefixMappings="xmlns:ns0='http://schemas.openxmlformats.org/officeDocument/2006/extended-properties'" w:xpath="/ns0:Properties[1]/ns0:Company[1]" w:storeItemID="{6668398D-A668-4E3E-A5EB-62B293D839F1}"/>
                                    <w:text/>
                                  </w:sdtPr>
                                  <w:sdtEndPr/>
                                  <w:sdtContent>
                                    <w:p w14:paraId="348478A9" w14:textId="77777777" w:rsidR="00BE746E" w:rsidRPr="0075264C" w:rsidRDefault="00927686">
                                      <w:pPr>
                                        <w:pStyle w:val="NoSpacing"/>
                                        <w:spacing w:line="360" w:lineRule="auto"/>
                                        <w:rPr>
                                          <w:rFonts w:ascii="Verdana" w:hAnsi="Verdana" w:cs="Arial"/>
                                          <w:color w:val="FFFFFF" w:themeColor="background1"/>
                                          <w:sz w:val="24"/>
                                          <w:szCs w:val="24"/>
                                        </w:rPr>
                                      </w:pPr>
                                      <w:r w:rsidRPr="0075264C">
                                        <w:rPr>
                                          <w:rFonts w:ascii="Verdana" w:hAnsi="Verdana" w:cs="Arial"/>
                                          <w:color w:val="FFFFFF" w:themeColor="background1"/>
                                          <w:sz w:val="24"/>
                                          <w:szCs w:val="24"/>
                                        </w:rPr>
                                        <w:t>Nuneaton and Bedworth        Borough Council</w:t>
                                      </w:r>
                                    </w:p>
                                  </w:sdtContent>
                                </w:sdt>
                                <w:sdt>
                                  <w:sdtPr>
                                    <w:rPr>
                                      <w:rFonts w:ascii="Verdana" w:hAnsi="Verdana" w:cs="Arial"/>
                                      <w:color w:val="FFFFFF" w:themeColor="background1"/>
                                      <w:sz w:val="24"/>
                                      <w:szCs w:val="24"/>
                                    </w:rPr>
                                    <w:alias w:val="Date"/>
                                    <w:id w:val="1724480474"/>
                                    <w:dataBinding w:prefixMappings="xmlns:ns0='http://schemas.microsoft.com/office/2006/coverPageProps'" w:xpath="/ns0:CoverPageProperties[1]/ns0:PublishDate[1]" w:storeItemID="{55AF091B-3C7A-41E3-B477-F2FDAA23CFDA}"/>
                                    <w:date w:fullDate="2025-07-01T00:00:00Z">
                                      <w:dateFormat w:val="M/d/yyyy"/>
                                      <w:lid w:val="en-US"/>
                                      <w:storeMappedDataAs w:val="dateTime"/>
                                      <w:calendar w:val="gregorian"/>
                                    </w:date>
                                  </w:sdtPr>
                                  <w:sdtEndPr/>
                                  <w:sdtContent>
                                    <w:p w14:paraId="5915AF5A" w14:textId="335176DA" w:rsidR="00BE746E" w:rsidRPr="0075264C" w:rsidRDefault="00D10515">
                                      <w:pPr>
                                        <w:pStyle w:val="NoSpacing"/>
                                        <w:spacing w:line="360" w:lineRule="auto"/>
                                        <w:rPr>
                                          <w:rFonts w:ascii="Verdana" w:hAnsi="Verdana" w:cs="Arial"/>
                                          <w:color w:val="FFFFFF" w:themeColor="background1"/>
                                          <w:sz w:val="24"/>
                                          <w:szCs w:val="24"/>
                                        </w:rPr>
                                      </w:pPr>
                                      <w:r>
                                        <w:rPr>
                                          <w:rFonts w:ascii="Verdana" w:hAnsi="Verdana" w:cs="Arial"/>
                                          <w:color w:val="FFFFFF" w:themeColor="background1"/>
                                          <w:sz w:val="24"/>
                                          <w:szCs w:val="24"/>
                                        </w:rPr>
                                        <w:t>7/1/2025</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09E1B7CA" id="Group 453" o:spid="_x0000_s1026" style="position:absolute;margin-left:362pt;margin-top:0;width:248.45pt;height:11in;z-index:251649535;mso-height-percent:1000;mso-position-horizontal-relative:page;mso-position-vertical-relative:page;mso-height-percent:1000" coordorigin="-635" coordsize="31550,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">
                    <v:rect id="Rectangle 460" o:spid="_x0000_s1027" style="position:absolute;left:-635;width:31550;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" fillcolor="#196533" stroked="f" strokecolor="#d8d8d8"/>
                    <v:rect id="Rectangle 461" o:spid="_x0000_s1028" style="position:absolute;left:138;width:30024;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rFonts w:ascii="Verdana" w:hAnsi="Verdana" w:cs="Arial"/>
                                <w:b/>
                                <w:bCs/>
                                <w:color w:val="FFFFFF" w:themeColor="background1"/>
                                <w:sz w:val="72"/>
                                <w:szCs w:val="72"/>
                              </w:rPr>
                              <w:alias w:val="Year"/>
                              <w:id w:val="1012341074"/>
                              <w:dataBinding w:prefixMappings="xmlns:ns0='http://schemas.microsoft.com/office/2006/coverPageProps'" w:xpath="/ns0:CoverPageProperties[1]/ns0:PublishDate[1]" w:storeItemID="{55AF091B-3C7A-41E3-B477-F2FDAA23CFDA}"/>
                              <w:date w:fullDate="2025-07-01T00:00:00Z">
                                <w:dateFormat w:val="yyyy"/>
                                <w:lid w:val="en-US"/>
                                <w:storeMappedDataAs w:val="dateTime"/>
                                <w:calendar w:val="gregorian"/>
                              </w:date>
                            </w:sdtPr>
                            <w:sdtEndPr>
                              <w:rPr>
                                <w:color w:val="000000" w:themeColor="text1"/>
                              </w:rPr>
                            </w:sdtEndPr>
                            <w:sdtContent>
                              <w:p w14:paraId="6F83141A" w14:textId="77777777" w:rsidR="00BE746E" w:rsidRPr="0075264C" w:rsidRDefault="0075264C">
                                <w:pPr>
                                  <w:pStyle w:val="NoSpacing"/>
                                  <w:rPr>
                                    <w:rFonts w:ascii="Verdana" w:hAnsi="Verdana" w:cs="Arial"/>
                                    <w:b/>
                                    <w:bCs/>
                                    <w:color w:val="000000" w:themeColor="text1"/>
                                    <w:sz w:val="72"/>
                                    <w:szCs w:val="72"/>
                                  </w:rPr>
                                </w:pPr>
                                <w:r>
                                  <w:rPr>
                                    <w:rFonts w:ascii="Verdana" w:hAnsi="Verdana" w:cs="Arial"/>
                                    <w:b/>
                                    <w:bCs/>
                                    <w:color w:val="FFFFFF" w:themeColor="background1"/>
                                    <w:sz w:val="72"/>
                                    <w:szCs w:val="72"/>
                                  </w:rPr>
                                  <w:t>2025</w:t>
                                </w:r>
                              </w:p>
                            </w:sdtContent>
                          </w:sdt>
                        </w:txbxContent>
                      </v:textbox>
                    </v:rect>
                    <v:rect id="Rectangle 9" o:spid="_x0000_s1029"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rFonts w:ascii="Verdana" w:hAnsi="Verdana" w:cs="Arial"/>
                                <w:color w:val="FFFFFF" w:themeColor="background1"/>
                                <w:sz w:val="24"/>
                                <w:szCs w:val="24"/>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2D2D0E25" w14:textId="5571A004" w:rsidR="00BE746E" w:rsidRPr="0075264C" w:rsidRDefault="00D10515">
                                <w:pPr>
                                  <w:pStyle w:val="NoSpacing"/>
                                  <w:spacing w:line="360" w:lineRule="auto"/>
                                  <w:rPr>
                                    <w:rFonts w:ascii="Verdana" w:hAnsi="Verdana" w:cs="Arial"/>
                                    <w:color w:val="FFFFFF" w:themeColor="background1"/>
                                    <w:sz w:val="24"/>
                                    <w:szCs w:val="24"/>
                                  </w:rPr>
                                </w:pPr>
                                <w:r>
                                  <w:rPr>
                                    <w:rFonts w:ascii="Verdana" w:hAnsi="Verdana" w:cs="Arial"/>
                                    <w:color w:val="FFFFFF" w:themeColor="background1"/>
                                    <w:sz w:val="24"/>
                                    <w:szCs w:val="24"/>
                                  </w:rPr>
                                  <w:t>Housing &amp; Community Safety</w:t>
                                </w:r>
                              </w:p>
                            </w:sdtContent>
                          </w:sdt>
                          <w:sdt>
                            <w:sdtPr>
                              <w:rPr>
                                <w:rFonts w:ascii="Verdana" w:hAnsi="Verdana" w:cs="Arial"/>
                                <w:color w:val="FFFFFF" w:themeColor="background1"/>
                                <w:sz w:val="24"/>
                                <w:szCs w:val="24"/>
                              </w:rPr>
                              <w:alias w:val="Company"/>
                              <w:id w:val="1760174317"/>
                              <w:dataBinding w:prefixMappings="xmlns:ns0='http://schemas.openxmlformats.org/officeDocument/2006/extended-properties'" w:xpath="/ns0:Properties[1]/ns0:Company[1]" w:storeItemID="{6668398D-A668-4E3E-A5EB-62B293D839F1}"/>
                              <w:text/>
                            </w:sdtPr>
                            <w:sdtEndPr/>
                            <w:sdtContent>
                              <w:p w14:paraId="348478A9" w14:textId="77777777" w:rsidR="00BE746E" w:rsidRPr="0075264C" w:rsidRDefault="00927686">
                                <w:pPr>
                                  <w:pStyle w:val="NoSpacing"/>
                                  <w:spacing w:line="360" w:lineRule="auto"/>
                                  <w:rPr>
                                    <w:rFonts w:ascii="Verdana" w:hAnsi="Verdana" w:cs="Arial"/>
                                    <w:color w:val="FFFFFF" w:themeColor="background1"/>
                                    <w:sz w:val="24"/>
                                    <w:szCs w:val="24"/>
                                  </w:rPr>
                                </w:pPr>
                                <w:r w:rsidRPr="0075264C">
                                  <w:rPr>
                                    <w:rFonts w:ascii="Verdana" w:hAnsi="Verdana" w:cs="Arial"/>
                                    <w:color w:val="FFFFFF" w:themeColor="background1"/>
                                    <w:sz w:val="24"/>
                                    <w:szCs w:val="24"/>
                                  </w:rPr>
                                  <w:t>Nuneaton and Bedworth        Borough Council</w:t>
                                </w:r>
                              </w:p>
                            </w:sdtContent>
                          </w:sdt>
                          <w:sdt>
                            <w:sdtPr>
                              <w:rPr>
                                <w:rFonts w:ascii="Verdana" w:hAnsi="Verdana" w:cs="Arial"/>
                                <w:color w:val="FFFFFF" w:themeColor="background1"/>
                                <w:sz w:val="24"/>
                                <w:szCs w:val="24"/>
                              </w:rPr>
                              <w:alias w:val="Date"/>
                              <w:id w:val="1724480474"/>
                              <w:dataBinding w:prefixMappings="xmlns:ns0='http://schemas.microsoft.com/office/2006/coverPageProps'" w:xpath="/ns0:CoverPageProperties[1]/ns0:PublishDate[1]" w:storeItemID="{55AF091B-3C7A-41E3-B477-F2FDAA23CFDA}"/>
                              <w:date w:fullDate="2025-07-01T00:00:00Z">
                                <w:dateFormat w:val="M/d/yyyy"/>
                                <w:lid w:val="en-US"/>
                                <w:storeMappedDataAs w:val="dateTime"/>
                                <w:calendar w:val="gregorian"/>
                              </w:date>
                            </w:sdtPr>
                            <w:sdtEndPr/>
                            <w:sdtContent>
                              <w:p w14:paraId="5915AF5A" w14:textId="335176DA" w:rsidR="00BE746E" w:rsidRPr="0075264C" w:rsidRDefault="00D10515">
                                <w:pPr>
                                  <w:pStyle w:val="NoSpacing"/>
                                  <w:spacing w:line="360" w:lineRule="auto"/>
                                  <w:rPr>
                                    <w:rFonts w:ascii="Verdana" w:hAnsi="Verdana" w:cs="Arial"/>
                                    <w:color w:val="FFFFFF" w:themeColor="background1"/>
                                    <w:sz w:val="24"/>
                                    <w:szCs w:val="24"/>
                                  </w:rPr>
                                </w:pPr>
                                <w:r>
                                  <w:rPr>
                                    <w:rFonts w:ascii="Verdana" w:hAnsi="Verdana" w:cs="Arial"/>
                                    <w:color w:val="FFFFFF" w:themeColor="background1"/>
                                    <w:sz w:val="24"/>
                                    <w:szCs w:val="24"/>
                                  </w:rPr>
                                  <w:t>7/1/2025</w:t>
                                </w:r>
                              </w:p>
                            </w:sdtContent>
                          </w:sdt>
                        </w:txbxContent>
                      </v:textbox>
                    </v:rect>
                    <w10:wrap anchorx="page" anchory="page"/>
                  </v:group>
                </w:pict>
              </mc:Fallback>
            </mc:AlternateContent>
          </w:r>
        </w:p>
        <w:p w14:paraId="108BB190" w14:textId="77777777" w:rsidR="00BE746E" w:rsidRDefault="0075264C" w:rsidP="4330B532">
          <w:pPr>
            <w:rPr>
              <w:rFonts w:ascii="Arial" w:eastAsiaTheme="majorEastAsia" w:hAnsi="Arial" w:cs="Arial"/>
              <w:b/>
              <w:bCs/>
              <w:color w:val="2F5496" w:themeColor="accent1" w:themeShade="BF"/>
              <w:sz w:val="32"/>
              <w:szCs w:val="32"/>
            </w:rPr>
          </w:pPr>
          <w:r>
            <w:rPr>
              <w:noProof/>
            </w:rPr>
            <mc:AlternateContent>
              <mc:Choice Requires="wps">
                <w:drawing>
                  <wp:anchor distT="0" distB="0" distL="114300" distR="114300" simplePos="0" relativeHeight="251650560" behindDoc="0" locked="0" layoutInCell="0" allowOverlap="1" wp14:anchorId="4C9F718E" wp14:editId="1BD4365F">
                    <wp:simplePos x="0" y="0"/>
                    <wp:positionH relativeFrom="page">
                      <wp:align>left</wp:align>
                    </wp:positionH>
                    <wp:positionV relativeFrom="page">
                      <wp:posOffset>2533650</wp:posOffset>
                    </wp:positionV>
                    <wp:extent cx="6970395" cy="1123950"/>
                    <wp:effectExtent l="0" t="0" r="1905" b="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970395" cy="1123950"/>
                            </a:xfrm>
                            <a:prstGeom prst="rect">
                              <a:avLst/>
                            </a:prstGeom>
                            <a:solidFill>
                              <a:srgbClr val="AFBDA9"/>
                            </a:solidFill>
                            <a:ln w="19050">
                              <a:noFill/>
                              <a:miter/>
                            </a:ln>
                          </wps:spPr>
                          <wps:txbx>
                            <w:txbxContent>
                              <w:p w14:paraId="65FCECE8" w14:textId="53222F2E" w:rsidR="00BB1B14" w:rsidRPr="00D10515" w:rsidRDefault="00277D58" w:rsidP="00495665">
                                <w:pPr>
                                  <w:spacing w:line="276" w:lineRule="auto"/>
                                  <w:jc w:val="right"/>
                                  <w:rPr>
                                    <w:rFonts w:ascii="Verdana" w:eastAsia="Verdana" w:hAnsi="Verdana"/>
                                    <w:b/>
                                    <w:bCs/>
                                    <w:color w:val="000000"/>
                                    <w:sz w:val="56"/>
                                    <w:szCs w:val="56"/>
                                    <w:lang w:val="en-US"/>
                                  </w:rPr>
                                </w:pPr>
                                <w:r>
                                  <w:rPr>
                                    <w:rFonts w:ascii="Verdana" w:eastAsia="Verdana" w:hAnsi="Verdana"/>
                                    <w:b/>
                                    <w:bCs/>
                                    <w:color w:val="000000"/>
                                    <w:sz w:val="56"/>
                                    <w:szCs w:val="56"/>
                                    <w:lang w:val="en-US"/>
                                  </w:rPr>
                                  <w:t>Mutual Exchange</w:t>
                                </w:r>
                                <w:r w:rsidR="00D10515" w:rsidRPr="00D10515">
                                  <w:rPr>
                                    <w:rFonts w:ascii="Verdana" w:eastAsia="Verdana" w:hAnsi="Verdana"/>
                                    <w:b/>
                                    <w:bCs/>
                                    <w:color w:val="000000"/>
                                    <w:sz w:val="56"/>
                                    <w:szCs w:val="56"/>
                                    <w:lang w:val="en-US"/>
                                  </w:rPr>
                                  <w:t xml:space="preserve"> Policy</w:t>
                                </w:r>
                              </w:p>
                            </w:txbxContent>
                          </wps:txbx>
                          <wps:bodyPr wrap="square" lIns="182880" tIns="45720" rIns="182880" bIns="45720" anchor="ctr" upright="1">
                            <a:noAutofit/>
                          </wps:bodyPr>
                        </wps:wsp>
                      </a:graphicData>
                    </a:graphic>
                    <wp14:sizeRelH relativeFrom="page">
                      <wp14:pctWidth>90000</wp14:pctWidth>
                    </wp14:sizeRelH>
                    <wp14:sizeRelV relativeFrom="page">
                      <wp14:pctHeight>0</wp14:pctHeight>
                    </wp14:sizeRelV>
                  </wp:anchor>
                </w:drawing>
              </mc:Choice>
              <mc:Fallback>
                <w:pict>
                  <v:rect w14:anchorId="4C9F718E" id="Rectangle 16" o:spid="_x0000_s1030" style="position:absolute;margin-left:0;margin-top:199.5pt;width:548.85pt;height:88.5pt;z-index:251650560;visibility:visible;mso-wrap-style:square;mso-width-percent:900;mso-height-percent:0;mso-wrap-distance-left:9pt;mso-wrap-distance-top:0;mso-wrap-distance-right:9pt;mso-wrap-distance-bottom:0;mso-position-horizontal:left;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" o:allowincell="f" fillcolor="#afbda9" stroked="f" strokeweight="1.5pt">
                    <v:textbox inset="14.4pt,,14.4pt">
                      <w:txbxContent>
                        <w:p w14:paraId="65FCECE8" w14:textId="53222F2E" w:rsidR="00BB1B14" w:rsidRPr="00D10515" w:rsidRDefault="00277D58" w:rsidP="00495665">
                          <w:pPr>
                            <w:spacing w:line="276" w:lineRule="auto"/>
                            <w:jc w:val="right"/>
                            <w:rPr>
                              <w:rFonts w:ascii="Verdana" w:eastAsia="Verdana" w:hAnsi="Verdana"/>
                              <w:b/>
                              <w:bCs/>
                              <w:color w:val="000000"/>
                              <w:sz w:val="56"/>
                              <w:szCs w:val="56"/>
                              <w:lang w:val="en-US"/>
                            </w:rPr>
                          </w:pPr>
                          <w:r>
                            <w:rPr>
                              <w:rFonts w:ascii="Verdana" w:eastAsia="Verdana" w:hAnsi="Verdana"/>
                              <w:b/>
                              <w:bCs/>
                              <w:color w:val="000000"/>
                              <w:sz w:val="56"/>
                              <w:szCs w:val="56"/>
                              <w:lang w:val="en-US"/>
                            </w:rPr>
                            <w:t>Mutual Exchange</w:t>
                          </w:r>
                          <w:r w:rsidR="00D10515" w:rsidRPr="00D10515">
                            <w:rPr>
                              <w:rFonts w:ascii="Verdana" w:eastAsia="Verdana" w:hAnsi="Verdana"/>
                              <w:b/>
                              <w:bCs/>
                              <w:color w:val="000000"/>
                              <w:sz w:val="56"/>
                              <w:szCs w:val="56"/>
                              <w:lang w:val="en-US"/>
                            </w:rPr>
                            <w:t xml:space="preserve"> Policy</w:t>
                          </w:r>
                        </w:p>
                      </w:txbxContent>
                    </v:textbox>
                    <w10:wrap anchorx="page" anchory="page"/>
                  </v:rect>
                </w:pict>
              </mc:Fallback>
            </mc:AlternateContent>
          </w:r>
          <w:r w:rsidR="00BE746E">
            <w:rPr>
              <w:rFonts w:ascii="Arial" w:hAnsi="Arial" w:cs="Arial"/>
              <w:b/>
              <w:bCs/>
            </w:rPr>
            <w:br w:type="page"/>
          </w:r>
        </w:p>
      </w:sdtContent>
    </w:sdt>
    <w:p w14:paraId="5A278FEB" w14:textId="1F4AFDB1" w:rsidR="00F15ACE" w:rsidRPr="00A009FA" w:rsidRDefault="009C6D4E" w:rsidP="007C7613">
      <w:pPr>
        <w:pStyle w:val="Heading1"/>
        <w:rPr>
          <w:rFonts w:ascii="Verdana" w:hAnsi="Verdana" w:cs="Arial"/>
          <w:b/>
          <w:bCs/>
          <w:color w:val="196533"/>
        </w:rPr>
      </w:pPr>
      <w:r>
        <w:rPr>
          <w:rFonts w:ascii="Verdana" w:hAnsi="Verdana" w:cs="Arial"/>
          <w:b/>
          <w:bCs/>
          <w:color w:val="196533"/>
        </w:rPr>
        <w:lastRenderedPageBreak/>
        <w:t>Tenancy Assignment Policy Quality Record</w:t>
      </w:r>
    </w:p>
    <w:p w14:paraId="4C969E95" w14:textId="77777777" w:rsidR="0019525C" w:rsidRDefault="0019525C" w:rsidP="0019525C">
      <w:pPr>
        <w:rPr>
          <w:rFonts w:ascii="Arial" w:hAnsi="Arial" w:cs="Arial"/>
          <w:sz w:val="20"/>
          <w:szCs w:val="20"/>
        </w:rPr>
      </w:pPr>
    </w:p>
    <w:tbl>
      <w:tblPr>
        <w:tblStyle w:val="TableGrid"/>
        <w:tblW w:w="0" w:type="auto"/>
        <w:tblLook w:val="04A0" w:firstRow="1" w:lastRow="0" w:firstColumn="1" w:lastColumn="0" w:noHBand="0" w:noVBand="1"/>
      </w:tblPr>
      <w:tblGrid>
        <w:gridCol w:w="1171"/>
        <w:gridCol w:w="2226"/>
        <w:gridCol w:w="2989"/>
        <w:gridCol w:w="1411"/>
        <w:gridCol w:w="1553"/>
      </w:tblGrid>
      <w:tr w:rsidR="009C6D4E" w14:paraId="59FB849C" w14:textId="77777777" w:rsidTr="00BF0D58">
        <w:trPr>
          <w:trHeight w:val="337"/>
        </w:trPr>
        <w:tc>
          <w:tcPr>
            <w:tcW w:w="1171" w:type="dxa"/>
            <w:shd w:val="clear" w:color="auto" w:fill="C5E0B3" w:themeFill="accent6" w:themeFillTint="66"/>
            <w:vAlign w:val="center"/>
          </w:tcPr>
          <w:p w14:paraId="67E72099" w14:textId="1ADA36B6"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Revision</w:t>
            </w:r>
          </w:p>
        </w:tc>
        <w:tc>
          <w:tcPr>
            <w:tcW w:w="2226" w:type="dxa"/>
            <w:shd w:val="clear" w:color="auto" w:fill="C5E0B3" w:themeFill="accent6" w:themeFillTint="66"/>
            <w:vAlign w:val="center"/>
          </w:tcPr>
          <w:p w14:paraId="28DA8399" w14:textId="1EF62BF8"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Date</w:t>
            </w:r>
          </w:p>
        </w:tc>
        <w:tc>
          <w:tcPr>
            <w:tcW w:w="2989" w:type="dxa"/>
            <w:shd w:val="clear" w:color="auto" w:fill="C5E0B3" w:themeFill="accent6" w:themeFillTint="66"/>
            <w:vAlign w:val="center"/>
          </w:tcPr>
          <w:p w14:paraId="61F73B47" w14:textId="2C825177"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Description</w:t>
            </w:r>
          </w:p>
        </w:tc>
        <w:tc>
          <w:tcPr>
            <w:tcW w:w="1411" w:type="dxa"/>
            <w:shd w:val="clear" w:color="auto" w:fill="C5E0B3" w:themeFill="accent6" w:themeFillTint="66"/>
            <w:vAlign w:val="center"/>
          </w:tcPr>
          <w:p w14:paraId="64AA038F" w14:textId="7686F807"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Stage</w:t>
            </w:r>
          </w:p>
        </w:tc>
        <w:tc>
          <w:tcPr>
            <w:tcW w:w="1553" w:type="dxa"/>
            <w:shd w:val="clear" w:color="auto" w:fill="C5E0B3" w:themeFill="accent6" w:themeFillTint="66"/>
            <w:vAlign w:val="center"/>
          </w:tcPr>
          <w:p w14:paraId="69576CF3" w14:textId="3EB9CCC5" w:rsidR="009C6D4E" w:rsidRPr="009C6D4E" w:rsidRDefault="009C6D4E" w:rsidP="009C6D4E">
            <w:pPr>
              <w:jc w:val="center"/>
              <w:rPr>
                <w:rFonts w:ascii="Verdana" w:hAnsi="Verdana" w:cs="Arial"/>
                <w:b/>
                <w:bCs/>
                <w:sz w:val="20"/>
                <w:szCs w:val="20"/>
              </w:rPr>
            </w:pPr>
            <w:r w:rsidRPr="009C6D4E">
              <w:rPr>
                <w:rFonts w:ascii="Verdana" w:hAnsi="Verdana" w:cs="Arial"/>
                <w:b/>
                <w:bCs/>
                <w:sz w:val="20"/>
                <w:szCs w:val="20"/>
              </w:rPr>
              <w:t>Agreed</w:t>
            </w:r>
          </w:p>
        </w:tc>
      </w:tr>
      <w:tr w:rsidR="009C6D4E" w14:paraId="1DEDF472" w14:textId="77777777" w:rsidTr="00BF0D58">
        <w:trPr>
          <w:trHeight w:val="337"/>
        </w:trPr>
        <w:tc>
          <w:tcPr>
            <w:tcW w:w="1171" w:type="dxa"/>
            <w:vAlign w:val="center"/>
          </w:tcPr>
          <w:p w14:paraId="211B48D0" w14:textId="77DDE78B" w:rsidR="009C6D4E" w:rsidRPr="009C6D4E" w:rsidRDefault="009C6D4E" w:rsidP="009C6D4E">
            <w:pPr>
              <w:jc w:val="center"/>
              <w:rPr>
                <w:rFonts w:ascii="Verdana" w:hAnsi="Verdana" w:cs="Arial"/>
                <w:sz w:val="20"/>
                <w:szCs w:val="20"/>
              </w:rPr>
            </w:pPr>
            <w:r w:rsidRPr="009C6D4E">
              <w:rPr>
                <w:rFonts w:ascii="Verdana" w:hAnsi="Verdana" w:cs="Arial"/>
                <w:sz w:val="20"/>
                <w:szCs w:val="20"/>
              </w:rPr>
              <w:t>Draft</w:t>
            </w:r>
          </w:p>
        </w:tc>
        <w:tc>
          <w:tcPr>
            <w:tcW w:w="2226" w:type="dxa"/>
            <w:vAlign w:val="center"/>
          </w:tcPr>
          <w:p w14:paraId="2EC51BDF" w14:textId="046CA5CD" w:rsidR="009C6D4E" w:rsidRPr="009C6D4E" w:rsidRDefault="00277D58" w:rsidP="009C6D4E">
            <w:pPr>
              <w:jc w:val="center"/>
              <w:rPr>
                <w:rFonts w:ascii="Verdana" w:hAnsi="Verdana" w:cs="Arial"/>
                <w:sz w:val="20"/>
                <w:szCs w:val="20"/>
              </w:rPr>
            </w:pPr>
            <w:r>
              <w:rPr>
                <w:rFonts w:ascii="Verdana" w:hAnsi="Verdana" w:cs="Arial"/>
                <w:sz w:val="20"/>
                <w:szCs w:val="20"/>
              </w:rPr>
              <w:t>2</w:t>
            </w:r>
            <w:r w:rsidR="00954D3D">
              <w:rPr>
                <w:rFonts w:ascii="Verdana" w:hAnsi="Verdana" w:cs="Arial"/>
                <w:sz w:val="20"/>
                <w:szCs w:val="20"/>
              </w:rPr>
              <w:t>9</w:t>
            </w:r>
            <w:r>
              <w:rPr>
                <w:rFonts w:ascii="Verdana" w:hAnsi="Verdana" w:cs="Arial"/>
                <w:sz w:val="20"/>
                <w:szCs w:val="20"/>
              </w:rPr>
              <w:t xml:space="preserve"> August 2025</w:t>
            </w:r>
          </w:p>
        </w:tc>
        <w:tc>
          <w:tcPr>
            <w:tcW w:w="2989" w:type="dxa"/>
            <w:vAlign w:val="center"/>
          </w:tcPr>
          <w:p w14:paraId="5ACAF85A" w14:textId="799BE38A" w:rsidR="009C6D4E" w:rsidRPr="009C6D4E" w:rsidRDefault="009C6D4E" w:rsidP="009C6D4E">
            <w:pPr>
              <w:jc w:val="center"/>
              <w:rPr>
                <w:rFonts w:ascii="Verdana" w:hAnsi="Verdana" w:cs="Arial"/>
                <w:sz w:val="20"/>
                <w:szCs w:val="20"/>
              </w:rPr>
            </w:pPr>
            <w:r w:rsidRPr="009C6D4E">
              <w:rPr>
                <w:rFonts w:ascii="Verdana" w:hAnsi="Verdana" w:cs="Arial"/>
                <w:sz w:val="20"/>
                <w:szCs w:val="20"/>
              </w:rPr>
              <w:t>First revision</w:t>
            </w:r>
          </w:p>
        </w:tc>
        <w:tc>
          <w:tcPr>
            <w:tcW w:w="1411" w:type="dxa"/>
            <w:vAlign w:val="center"/>
          </w:tcPr>
          <w:p w14:paraId="37A67355" w14:textId="57E3E8BD" w:rsidR="009C6D4E" w:rsidRPr="009C6D4E" w:rsidRDefault="009C6D4E" w:rsidP="009C6D4E">
            <w:pPr>
              <w:jc w:val="center"/>
              <w:rPr>
                <w:rFonts w:ascii="Verdana" w:hAnsi="Verdana" w:cs="Arial"/>
                <w:sz w:val="20"/>
                <w:szCs w:val="20"/>
              </w:rPr>
            </w:pPr>
            <w:r w:rsidRPr="009C6D4E">
              <w:rPr>
                <w:rFonts w:ascii="Verdana" w:hAnsi="Verdana" w:cs="Arial"/>
                <w:sz w:val="20"/>
                <w:szCs w:val="20"/>
              </w:rPr>
              <w:t>Draft</w:t>
            </w:r>
          </w:p>
        </w:tc>
        <w:tc>
          <w:tcPr>
            <w:tcW w:w="1553" w:type="dxa"/>
            <w:vAlign w:val="center"/>
          </w:tcPr>
          <w:p w14:paraId="07A3472B" w14:textId="77777777" w:rsidR="009C6D4E" w:rsidRPr="009C6D4E" w:rsidRDefault="009C6D4E" w:rsidP="009C6D4E">
            <w:pPr>
              <w:jc w:val="center"/>
              <w:rPr>
                <w:rFonts w:ascii="Verdana" w:hAnsi="Verdana" w:cs="Arial"/>
                <w:sz w:val="20"/>
                <w:szCs w:val="20"/>
              </w:rPr>
            </w:pPr>
          </w:p>
        </w:tc>
      </w:tr>
      <w:tr w:rsidR="009C6D4E" w14:paraId="76D453A4" w14:textId="77777777" w:rsidTr="00BF0D58">
        <w:trPr>
          <w:trHeight w:val="337"/>
        </w:trPr>
        <w:tc>
          <w:tcPr>
            <w:tcW w:w="1171" w:type="dxa"/>
            <w:vAlign w:val="center"/>
          </w:tcPr>
          <w:p w14:paraId="4CC77941" w14:textId="051D9CF7" w:rsidR="009C6D4E" w:rsidRPr="009C6D4E" w:rsidRDefault="009C6D4E" w:rsidP="009C6D4E">
            <w:pPr>
              <w:jc w:val="center"/>
              <w:rPr>
                <w:rFonts w:ascii="Verdana" w:hAnsi="Verdana" w:cs="Arial"/>
                <w:sz w:val="20"/>
                <w:szCs w:val="20"/>
              </w:rPr>
            </w:pPr>
            <w:r w:rsidRPr="009C6D4E">
              <w:rPr>
                <w:rFonts w:ascii="Verdana" w:hAnsi="Verdana" w:cs="Arial"/>
                <w:sz w:val="20"/>
                <w:szCs w:val="20"/>
              </w:rPr>
              <w:t>Draft</w:t>
            </w:r>
          </w:p>
        </w:tc>
        <w:tc>
          <w:tcPr>
            <w:tcW w:w="2226" w:type="dxa"/>
            <w:vAlign w:val="center"/>
          </w:tcPr>
          <w:p w14:paraId="1B83832A" w14:textId="7008A0A4" w:rsidR="009C6D4E" w:rsidRPr="009C6D4E" w:rsidRDefault="00BF0D58" w:rsidP="009C6D4E">
            <w:pPr>
              <w:jc w:val="center"/>
              <w:rPr>
                <w:rFonts w:ascii="Verdana" w:hAnsi="Verdana" w:cs="Arial"/>
                <w:sz w:val="20"/>
                <w:szCs w:val="20"/>
              </w:rPr>
            </w:pPr>
            <w:r>
              <w:rPr>
                <w:rFonts w:ascii="Verdana" w:hAnsi="Verdana" w:cs="Arial"/>
                <w:sz w:val="20"/>
                <w:szCs w:val="20"/>
              </w:rPr>
              <w:t>22 September 2025</w:t>
            </w:r>
          </w:p>
        </w:tc>
        <w:tc>
          <w:tcPr>
            <w:tcW w:w="2989" w:type="dxa"/>
            <w:vAlign w:val="center"/>
          </w:tcPr>
          <w:p w14:paraId="1F4B9FDA" w14:textId="758B4C75" w:rsidR="009C6D4E" w:rsidRPr="009C6D4E" w:rsidRDefault="00BF0D58" w:rsidP="009C6D4E">
            <w:pPr>
              <w:jc w:val="center"/>
              <w:rPr>
                <w:rFonts w:ascii="Verdana" w:hAnsi="Verdana" w:cs="Arial"/>
                <w:sz w:val="20"/>
                <w:szCs w:val="20"/>
              </w:rPr>
            </w:pPr>
            <w:r>
              <w:rPr>
                <w:rFonts w:ascii="Verdana" w:hAnsi="Verdana" w:cs="Arial"/>
                <w:sz w:val="20"/>
                <w:szCs w:val="20"/>
              </w:rPr>
              <w:t>Second revision</w:t>
            </w:r>
          </w:p>
        </w:tc>
        <w:tc>
          <w:tcPr>
            <w:tcW w:w="1411" w:type="dxa"/>
            <w:vAlign w:val="center"/>
          </w:tcPr>
          <w:p w14:paraId="33402D83" w14:textId="04A6CBBB" w:rsidR="009C6D4E" w:rsidRPr="009C6D4E" w:rsidRDefault="00BF0D58" w:rsidP="009C6D4E">
            <w:pPr>
              <w:jc w:val="center"/>
              <w:rPr>
                <w:rFonts w:ascii="Verdana" w:hAnsi="Verdana" w:cs="Arial"/>
                <w:sz w:val="20"/>
                <w:szCs w:val="20"/>
              </w:rPr>
            </w:pPr>
            <w:r>
              <w:rPr>
                <w:rFonts w:ascii="Verdana" w:hAnsi="Verdana" w:cs="Arial"/>
                <w:sz w:val="20"/>
                <w:szCs w:val="20"/>
              </w:rPr>
              <w:t>Draft</w:t>
            </w:r>
          </w:p>
        </w:tc>
        <w:tc>
          <w:tcPr>
            <w:tcW w:w="1553" w:type="dxa"/>
            <w:vAlign w:val="center"/>
          </w:tcPr>
          <w:p w14:paraId="401EC0B9" w14:textId="77777777" w:rsidR="009C6D4E" w:rsidRPr="009C6D4E" w:rsidRDefault="009C6D4E" w:rsidP="009C6D4E">
            <w:pPr>
              <w:jc w:val="center"/>
              <w:rPr>
                <w:rFonts w:ascii="Verdana" w:hAnsi="Verdana" w:cs="Arial"/>
                <w:sz w:val="20"/>
                <w:szCs w:val="20"/>
              </w:rPr>
            </w:pPr>
          </w:p>
        </w:tc>
      </w:tr>
      <w:tr w:rsidR="00BF0D58" w14:paraId="24FB49AA" w14:textId="77777777" w:rsidTr="00BF0D58">
        <w:trPr>
          <w:trHeight w:val="337"/>
        </w:trPr>
        <w:tc>
          <w:tcPr>
            <w:tcW w:w="1171" w:type="dxa"/>
            <w:vAlign w:val="center"/>
          </w:tcPr>
          <w:p w14:paraId="224B7CFB" w14:textId="77777777" w:rsidR="00BF0D58" w:rsidRPr="009C6D4E" w:rsidRDefault="00BF0D58" w:rsidP="009C6D4E">
            <w:pPr>
              <w:jc w:val="center"/>
              <w:rPr>
                <w:rFonts w:ascii="Verdana" w:hAnsi="Verdana" w:cs="Arial"/>
                <w:sz w:val="20"/>
                <w:szCs w:val="20"/>
              </w:rPr>
            </w:pPr>
          </w:p>
        </w:tc>
        <w:tc>
          <w:tcPr>
            <w:tcW w:w="2226" w:type="dxa"/>
            <w:vAlign w:val="center"/>
          </w:tcPr>
          <w:p w14:paraId="4506693F" w14:textId="77777777" w:rsidR="00BF0D58" w:rsidRPr="009C6D4E" w:rsidRDefault="00BF0D58" w:rsidP="009C6D4E">
            <w:pPr>
              <w:jc w:val="center"/>
              <w:rPr>
                <w:rFonts w:ascii="Verdana" w:hAnsi="Verdana" w:cs="Arial"/>
                <w:sz w:val="20"/>
                <w:szCs w:val="20"/>
              </w:rPr>
            </w:pPr>
          </w:p>
        </w:tc>
        <w:tc>
          <w:tcPr>
            <w:tcW w:w="2989" w:type="dxa"/>
            <w:vAlign w:val="center"/>
          </w:tcPr>
          <w:p w14:paraId="22007B57" w14:textId="0002C735" w:rsidR="00BF0D58" w:rsidRPr="009C6D4E" w:rsidRDefault="00BF0D58" w:rsidP="009C6D4E">
            <w:pPr>
              <w:jc w:val="center"/>
              <w:rPr>
                <w:rFonts w:ascii="Verdana" w:hAnsi="Verdana" w:cs="Arial"/>
                <w:sz w:val="20"/>
                <w:szCs w:val="20"/>
              </w:rPr>
            </w:pPr>
            <w:proofErr w:type="spellStart"/>
            <w:r w:rsidRPr="009C6D4E">
              <w:rPr>
                <w:rFonts w:ascii="Verdana" w:hAnsi="Verdana" w:cs="Arial"/>
                <w:sz w:val="20"/>
                <w:szCs w:val="20"/>
              </w:rPr>
              <w:t>EqIA</w:t>
            </w:r>
            <w:proofErr w:type="spellEnd"/>
          </w:p>
        </w:tc>
        <w:tc>
          <w:tcPr>
            <w:tcW w:w="1411" w:type="dxa"/>
            <w:vAlign w:val="center"/>
          </w:tcPr>
          <w:p w14:paraId="07889033" w14:textId="709778CB" w:rsidR="00BF0D58" w:rsidRPr="009C6D4E" w:rsidRDefault="00BF0D58" w:rsidP="009C6D4E">
            <w:pPr>
              <w:jc w:val="center"/>
              <w:rPr>
                <w:rFonts w:ascii="Verdana" w:hAnsi="Verdana" w:cs="Arial"/>
                <w:sz w:val="20"/>
                <w:szCs w:val="20"/>
              </w:rPr>
            </w:pPr>
            <w:r w:rsidRPr="009C6D4E">
              <w:rPr>
                <w:rFonts w:ascii="Verdana" w:hAnsi="Verdana" w:cs="Arial"/>
                <w:sz w:val="20"/>
                <w:szCs w:val="20"/>
              </w:rPr>
              <w:t>Draft</w:t>
            </w:r>
          </w:p>
        </w:tc>
        <w:tc>
          <w:tcPr>
            <w:tcW w:w="1553" w:type="dxa"/>
            <w:vAlign w:val="center"/>
          </w:tcPr>
          <w:p w14:paraId="1D10B4F8" w14:textId="77777777" w:rsidR="00BF0D58" w:rsidRPr="009C6D4E" w:rsidRDefault="00BF0D58" w:rsidP="009C6D4E">
            <w:pPr>
              <w:jc w:val="center"/>
              <w:rPr>
                <w:rFonts w:ascii="Verdana" w:hAnsi="Verdana" w:cs="Arial"/>
                <w:sz w:val="20"/>
                <w:szCs w:val="20"/>
              </w:rPr>
            </w:pPr>
          </w:p>
        </w:tc>
      </w:tr>
      <w:tr w:rsidR="009C6D4E" w14:paraId="652C9464" w14:textId="77777777" w:rsidTr="00BF0D58">
        <w:trPr>
          <w:trHeight w:val="673"/>
        </w:trPr>
        <w:tc>
          <w:tcPr>
            <w:tcW w:w="1171" w:type="dxa"/>
            <w:vAlign w:val="center"/>
          </w:tcPr>
          <w:p w14:paraId="4A99C3FF" w14:textId="5CF162E3" w:rsidR="009C6D4E" w:rsidRPr="009C6D4E" w:rsidRDefault="009C6D4E" w:rsidP="009C6D4E">
            <w:pPr>
              <w:jc w:val="center"/>
              <w:rPr>
                <w:rFonts w:ascii="Verdana" w:hAnsi="Verdana" w:cs="Arial"/>
                <w:sz w:val="20"/>
                <w:szCs w:val="20"/>
              </w:rPr>
            </w:pPr>
            <w:r w:rsidRPr="009C6D4E">
              <w:rPr>
                <w:rFonts w:ascii="Verdana" w:hAnsi="Verdana" w:cs="Arial"/>
                <w:sz w:val="20"/>
                <w:szCs w:val="20"/>
              </w:rPr>
              <w:t>Draft</w:t>
            </w:r>
          </w:p>
        </w:tc>
        <w:tc>
          <w:tcPr>
            <w:tcW w:w="2226" w:type="dxa"/>
            <w:vAlign w:val="center"/>
          </w:tcPr>
          <w:p w14:paraId="0800EC93" w14:textId="77777777" w:rsidR="009C6D4E" w:rsidRPr="009C6D4E" w:rsidRDefault="009C6D4E" w:rsidP="009C6D4E">
            <w:pPr>
              <w:jc w:val="center"/>
              <w:rPr>
                <w:rFonts w:ascii="Verdana" w:hAnsi="Verdana" w:cs="Arial"/>
                <w:sz w:val="20"/>
                <w:szCs w:val="20"/>
              </w:rPr>
            </w:pPr>
          </w:p>
        </w:tc>
        <w:tc>
          <w:tcPr>
            <w:tcW w:w="2989" w:type="dxa"/>
            <w:vAlign w:val="center"/>
          </w:tcPr>
          <w:p w14:paraId="26807C33" w14:textId="18F7534D" w:rsidR="009C6D4E" w:rsidRPr="009C6D4E" w:rsidRDefault="009C6D4E" w:rsidP="009C6D4E">
            <w:pPr>
              <w:jc w:val="center"/>
              <w:rPr>
                <w:rFonts w:ascii="Verdana" w:hAnsi="Verdana" w:cs="Arial"/>
                <w:sz w:val="20"/>
                <w:szCs w:val="20"/>
              </w:rPr>
            </w:pPr>
            <w:r w:rsidRPr="009C6D4E">
              <w:rPr>
                <w:rFonts w:ascii="Verdana" w:hAnsi="Verdana" w:cs="Arial"/>
                <w:sz w:val="20"/>
                <w:szCs w:val="20"/>
              </w:rPr>
              <w:t>Single Member Decision</w:t>
            </w:r>
          </w:p>
        </w:tc>
        <w:tc>
          <w:tcPr>
            <w:tcW w:w="1411" w:type="dxa"/>
            <w:vAlign w:val="center"/>
          </w:tcPr>
          <w:p w14:paraId="2A297E3B" w14:textId="074BD3D6" w:rsidR="009C6D4E" w:rsidRPr="009C6D4E" w:rsidRDefault="003A37B6" w:rsidP="009C6D4E">
            <w:pPr>
              <w:jc w:val="center"/>
              <w:rPr>
                <w:rFonts w:ascii="Verdana" w:hAnsi="Verdana" w:cs="Arial"/>
                <w:sz w:val="20"/>
                <w:szCs w:val="20"/>
              </w:rPr>
            </w:pPr>
            <w:r>
              <w:rPr>
                <w:rFonts w:ascii="Verdana" w:hAnsi="Verdana" w:cs="Arial"/>
                <w:sz w:val="20"/>
                <w:szCs w:val="20"/>
              </w:rPr>
              <w:t>Draft</w:t>
            </w:r>
          </w:p>
        </w:tc>
        <w:tc>
          <w:tcPr>
            <w:tcW w:w="1553" w:type="dxa"/>
            <w:vAlign w:val="center"/>
          </w:tcPr>
          <w:p w14:paraId="14DC5EC6" w14:textId="77777777" w:rsidR="009C6D4E" w:rsidRPr="009C6D4E" w:rsidRDefault="009C6D4E" w:rsidP="009C6D4E">
            <w:pPr>
              <w:jc w:val="center"/>
              <w:rPr>
                <w:rFonts w:ascii="Verdana" w:hAnsi="Verdana" w:cs="Arial"/>
                <w:sz w:val="20"/>
                <w:szCs w:val="20"/>
              </w:rPr>
            </w:pPr>
          </w:p>
        </w:tc>
      </w:tr>
    </w:tbl>
    <w:p w14:paraId="261ECFFA" w14:textId="77777777" w:rsidR="0019525C" w:rsidRDefault="0019525C" w:rsidP="0019525C">
      <w:pPr>
        <w:rPr>
          <w:rFonts w:ascii="Arial" w:hAnsi="Arial" w:cs="Arial"/>
          <w:sz w:val="20"/>
          <w:szCs w:val="20"/>
        </w:rPr>
      </w:pPr>
    </w:p>
    <w:p w14:paraId="5899495F" w14:textId="77777777" w:rsidR="009C6D4E" w:rsidRDefault="009C6D4E" w:rsidP="0019525C">
      <w:pPr>
        <w:rPr>
          <w:rFonts w:ascii="Arial" w:hAnsi="Arial" w:cs="Arial"/>
          <w:b/>
          <w:bCs/>
          <w:sz w:val="20"/>
          <w:szCs w:val="20"/>
        </w:rPr>
      </w:pPr>
    </w:p>
    <w:p w14:paraId="3301764A" w14:textId="0BA0B92D" w:rsidR="0019525C" w:rsidRPr="00D10515" w:rsidRDefault="0019525C" w:rsidP="0019525C">
      <w:pPr>
        <w:rPr>
          <w:rFonts w:ascii="Arial" w:hAnsi="Arial" w:cs="Arial"/>
          <w:b/>
          <w:bCs/>
          <w:sz w:val="20"/>
          <w:szCs w:val="20"/>
        </w:rPr>
      </w:pPr>
      <w:r w:rsidRPr="00D10515">
        <w:rPr>
          <w:rFonts w:ascii="Arial" w:hAnsi="Arial" w:cs="Arial"/>
          <w:b/>
          <w:bCs/>
          <w:sz w:val="20"/>
          <w:szCs w:val="20"/>
        </w:rPr>
        <w:t>Author and Version information</w:t>
      </w:r>
      <w:r w:rsidRPr="00D10515">
        <w:rPr>
          <w:rFonts w:ascii="Arial" w:hAnsi="Arial" w:cs="Arial"/>
          <w:b/>
          <w:bCs/>
          <w:sz w:val="20"/>
          <w:szCs w:val="20"/>
        </w:rPr>
        <w:tab/>
      </w:r>
      <w:r w:rsidRPr="00D10515">
        <w:rPr>
          <w:rFonts w:ascii="Arial" w:hAnsi="Arial" w:cs="Arial"/>
          <w:b/>
          <w:bCs/>
          <w:sz w:val="20"/>
          <w:szCs w:val="20"/>
        </w:rPr>
        <w:tab/>
      </w:r>
    </w:p>
    <w:p w14:paraId="5A23CCEC" w14:textId="5AE5ABDD" w:rsidR="0019525C" w:rsidRPr="00D57C68" w:rsidRDefault="0019525C" w:rsidP="0019525C">
      <w:pPr>
        <w:rPr>
          <w:rFonts w:ascii="Arial" w:hAnsi="Arial" w:cs="Arial"/>
          <w:sz w:val="20"/>
          <w:szCs w:val="20"/>
        </w:rPr>
      </w:pPr>
      <w:r w:rsidRPr="00D10515">
        <w:rPr>
          <w:rFonts w:ascii="Arial" w:hAnsi="Arial" w:cs="Arial"/>
          <w:b/>
          <w:bCs/>
          <w:sz w:val="20"/>
          <w:szCs w:val="20"/>
        </w:rPr>
        <w:t>Name</w:t>
      </w:r>
      <w:r w:rsidR="00D10515" w:rsidRPr="00D10515">
        <w:rPr>
          <w:rFonts w:ascii="Arial" w:hAnsi="Arial" w:cs="Arial"/>
          <w:b/>
          <w:bCs/>
          <w:sz w:val="20"/>
          <w:szCs w:val="20"/>
        </w:rPr>
        <w:t>:</w:t>
      </w:r>
      <w:r w:rsidR="00D10515">
        <w:rPr>
          <w:rFonts w:ascii="Arial" w:hAnsi="Arial" w:cs="Arial"/>
          <w:sz w:val="20"/>
          <w:szCs w:val="20"/>
        </w:rPr>
        <w:t xml:space="preserve"> </w:t>
      </w:r>
      <w:r w:rsidR="00277D58">
        <w:rPr>
          <w:rFonts w:ascii="Arial" w:hAnsi="Arial" w:cs="Arial"/>
          <w:sz w:val="20"/>
          <w:szCs w:val="20"/>
        </w:rPr>
        <w:t>Thomas Venus and Kayleigh Garner</w:t>
      </w:r>
      <w:r w:rsidRPr="00D57C68">
        <w:rPr>
          <w:rFonts w:ascii="Arial" w:hAnsi="Arial" w:cs="Arial"/>
          <w:sz w:val="20"/>
          <w:szCs w:val="20"/>
        </w:rPr>
        <w:tab/>
      </w:r>
      <w:r w:rsidRPr="00D57C68">
        <w:rPr>
          <w:rFonts w:ascii="Arial" w:hAnsi="Arial" w:cs="Arial"/>
          <w:sz w:val="20"/>
          <w:szCs w:val="20"/>
        </w:rPr>
        <w:tab/>
      </w:r>
      <w:r w:rsidRPr="00D10515">
        <w:rPr>
          <w:rFonts w:ascii="Arial" w:hAnsi="Arial" w:cs="Arial"/>
          <w:b/>
          <w:bCs/>
          <w:sz w:val="20"/>
          <w:szCs w:val="20"/>
        </w:rPr>
        <w:t>Approved by</w:t>
      </w:r>
      <w:r w:rsidR="00D10515" w:rsidRPr="00D10515">
        <w:rPr>
          <w:rFonts w:ascii="Arial" w:hAnsi="Arial" w:cs="Arial"/>
          <w:b/>
          <w:bCs/>
          <w:sz w:val="20"/>
          <w:szCs w:val="20"/>
        </w:rPr>
        <w:t>:</w:t>
      </w:r>
      <w:r w:rsidR="00FF578B">
        <w:rPr>
          <w:rFonts w:ascii="Arial" w:hAnsi="Arial" w:cs="Arial"/>
          <w:color w:val="FF0000"/>
          <w:sz w:val="20"/>
          <w:szCs w:val="20"/>
        </w:rPr>
        <w:t xml:space="preserve"> IN DRAFT</w:t>
      </w:r>
      <w:r w:rsidRPr="00D57C68">
        <w:rPr>
          <w:rFonts w:ascii="Arial" w:hAnsi="Arial" w:cs="Arial"/>
          <w:sz w:val="20"/>
          <w:szCs w:val="20"/>
        </w:rPr>
        <w:tab/>
      </w:r>
    </w:p>
    <w:p w14:paraId="2A7963FC" w14:textId="76B41D3A" w:rsidR="0019525C" w:rsidRPr="00D57C68" w:rsidRDefault="0019525C" w:rsidP="0019525C">
      <w:pPr>
        <w:rPr>
          <w:rFonts w:ascii="Arial" w:hAnsi="Arial" w:cs="Arial"/>
          <w:sz w:val="20"/>
          <w:szCs w:val="20"/>
        </w:rPr>
      </w:pPr>
      <w:r w:rsidRPr="00D10515">
        <w:rPr>
          <w:rFonts w:ascii="Arial" w:hAnsi="Arial" w:cs="Arial"/>
          <w:b/>
          <w:bCs/>
          <w:sz w:val="20"/>
          <w:szCs w:val="20"/>
        </w:rPr>
        <w:t xml:space="preserve">Version </w:t>
      </w:r>
      <w:r w:rsidR="00BF0D58">
        <w:rPr>
          <w:rFonts w:ascii="Arial" w:hAnsi="Arial" w:cs="Arial"/>
          <w:b/>
          <w:bCs/>
          <w:sz w:val="20"/>
          <w:szCs w:val="20"/>
        </w:rPr>
        <w:t>N</w:t>
      </w:r>
      <w:r w:rsidRPr="00D10515">
        <w:rPr>
          <w:rFonts w:ascii="Arial" w:hAnsi="Arial" w:cs="Arial"/>
          <w:b/>
          <w:bCs/>
          <w:sz w:val="20"/>
          <w:szCs w:val="20"/>
        </w:rPr>
        <w:t>o</w:t>
      </w:r>
      <w:r w:rsidR="00D10515" w:rsidRPr="00D10515">
        <w:rPr>
          <w:rFonts w:ascii="Arial" w:hAnsi="Arial" w:cs="Arial"/>
          <w:b/>
          <w:bCs/>
          <w:sz w:val="20"/>
          <w:szCs w:val="20"/>
        </w:rPr>
        <w:t>:</w:t>
      </w:r>
      <w:r w:rsidR="00D10515">
        <w:rPr>
          <w:rFonts w:ascii="Arial" w:hAnsi="Arial" w:cs="Arial"/>
          <w:sz w:val="20"/>
          <w:szCs w:val="20"/>
        </w:rPr>
        <w:t xml:space="preserve"> 1</w:t>
      </w:r>
    </w:p>
    <w:p w14:paraId="0DFD83C1" w14:textId="27C41E90" w:rsidR="0019525C" w:rsidRPr="00D57C68" w:rsidRDefault="0019525C" w:rsidP="0019525C">
      <w:pPr>
        <w:rPr>
          <w:rFonts w:ascii="Arial" w:hAnsi="Arial" w:cs="Arial"/>
          <w:sz w:val="20"/>
          <w:szCs w:val="20"/>
        </w:rPr>
      </w:pPr>
      <w:r w:rsidRPr="00D10515">
        <w:rPr>
          <w:rFonts w:ascii="Arial" w:hAnsi="Arial" w:cs="Arial"/>
          <w:b/>
          <w:bCs/>
          <w:sz w:val="20"/>
          <w:szCs w:val="20"/>
        </w:rPr>
        <w:t>Date</w:t>
      </w:r>
      <w:r w:rsidR="00D10515" w:rsidRPr="00D10515">
        <w:rPr>
          <w:rFonts w:ascii="Arial" w:hAnsi="Arial" w:cs="Arial"/>
          <w:b/>
          <w:bCs/>
          <w:sz w:val="20"/>
          <w:szCs w:val="20"/>
        </w:rPr>
        <w:t>:</w:t>
      </w:r>
      <w:r w:rsidR="00D10515">
        <w:rPr>
          <w:rFonts w:ascii="Arial" w:hAnsi="Arial" w:cs="Arial"/>
          <w:sz w:val="20"/>
          <w:szCs w:val="20"/>
        </w:rPr>
        <w:t xml:space="preserve"> </w:t>
      </w:r>
      <w:r w:rsidR="00BF0D58">
        <w:rPr>
          <w:rFonts w:ascii="Arial" w:hAnsi="Arial" w:cs="Arial"/>
          <w:sz w:val="20"/>
          <w:szCs w:val="20"/>
        </w:rPr>
        <w:t>22 September 2025</w:t>
      </w:r>
    </w:p>
    <w:p w14:paraId="51B44859" w14:textId="77777777" w:rsidR="0019525C" w:rsidRDefault="0019525C">
      <w:pPr>
        <w:rPr>
          <w:rFonts w:ascii="Arial" w:hAnsi="Arial" w:cs="Arial"/>
          <w:sz w:val="24"/>
          <w:szCs w:val="24"/>
        </w:rPr>
      </w:pPr>
      <w:r>
        <w:rPr>
          <w:rFonts w:ascii="Arial" w:hAnsi="Arial" w:cs="Arial"/>
          <w:sz w:val="24"/>
          <w:szCs w:val="24"/>
        </w:rPr>
        <w:br w:type="page"/>
      </w:r>
    </w:p>
    <w:p w14:paraId="4D79EC85" w14:textId="1F3D8EA3" w:rsidR="00AC084D" w:rsidRDefault="00EB3547" w:rsidP="009C6D4E">
      <w:pPr>
        <w:pStyle w:val="Heading1"/>
        <w:rPr>
          <w:rFonts w:ascii="Verdana" w:hAnsi="Verdana" w:cs="Arial"/>
          <w:b/>
          <w:bCs/>
          <w:color w:val="196533"/>
        </w:rPr>
      </w:pPr>
      <w:r w:rsidRPr="00A009FA">
        <w:rPr>
          <w:rFonts w:ascii="Verdana" w:hAnsi="Verdana" w:cs="Arial"/>
          <w:b/>
          <w:bCs/>
          <w:color w:val="196533"/>
        </w:rPr>
        <w:lastRenderedPageBreak/>
        <w:t>Contents</w:t>
      </w:r>
    </w:p>
    <w:p w14:paraId="6AB8BA7B" w14:textId="77777777" w:rsidR="009C6D4E" w:rsidRPr="009C6D4E" w:rsidRDefault="009C6D4E" w:rsidP="009C6D4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751"/>
        <w:gridCol w:w="1619"/>
      </w:tblGrid>
      <w:tr w:rsidR="00B96713" w:rsidRPr="00B96713" w14:paraId="356FF199" w14:textId="77777777" w:rsidTr="005D0574">
        <w:trPr>
          <w:tblHeader/>
        </w:trPr>
        <w:tc>
          <w:tcPr>
            <w:tcW w:w="1980" w:type="dxa"/>
          </w:tcPr>
          <w:p w14:paraId="5973849B" w14:textId="0853A162" w:rsidR="004758AD" w:rsidRPr="005D0574" w:rsidRDefault="00EB3547" w:rsidP="007C7613">
            <w:pPr>
              <w:rPr>
                <w:rFonts w:ascii="Verdana" w:hAnsi="Verdana" w:cs="Arial"/>
                <w:b/>
                <w:bCs/>
                <w:color w:val="385623" w:themeColor="accent6" w:themeShade="80"/>
                <w:sz w:val="24"/>
                <w:szCs w:val="24"/>
              </w:rPr>
            </w:pPr>
            <w:r w:rsidRPr="005D0574">
              <w:rPr>
                <w:rFonts w:ascii="Verdana" w:hAnsi="Verdana" w:cs="Arial"/>
                <w:b/>
                <w:bCs/>
                <w:color w:val="385623" w:themeColor="accent6" w:themeShade="80"/>
                <w:sz w:val="24"/>
                <w:szCs w:val="24"/>
              </w:rPr>
              <w:t>Page</w:t>
            </w:r>
            <w:r w:rsidR="00B96713" w:rsidRPr="005D0574">
              <w:rPr>
                <w:rFonts w:ascii="Verdana" w:hAnsi="Verdana" w:cs="Arial"/>
                <w:b/>
                <w:bCs/>
                <w:color w:val="385623" w:themeColor="accent6" w:themeShade="80"/>
                <w:sz w:val="24"/>
                <w:szCs w:val="24"/>
              </w:rPr>
              <w:t>(s)</w:t>
            </w:r>
          </w:p>
        </w:tc>
        <w:tc>
          <w:tcPr>
            <w:tcW w:w="5751" w:type="dxa"/>
          </w:tcPr>
          <w:p w14:paraId="3FB3036D" w14:textId="1CB67230" w:rsidR="004758AD" w:rsidRPr="005D0574" w:rsidRDefault="009C6D4E" w:rsidP="007C7613">
            <w:pPr>
              <w:rPr>
                <w:rFonts w:ascii="Verdana" w:hAnsi="Verdana" w:cs="Arial"/>
                <w:b/>
                <w:bCs/>
                <w:color w:val="385623" w:themeColor="accent6" w:themeShade="80"/>
                <w:sz w:val="24"/>
                <w:szCs w:val="24"/>
              </w:rPr>
            </w:pPr>
            <w:r w:rsidRPr="005D0574">
              <w:rPr>
                <w:rFonts w:ascii="Verdana" w:hAnsi="Verdana" w:cs="Arial"/>
                <w:b/>
                <w:bCs/>
                <w:color w:val="385623" w:themeColor="accent6" w:themeShade="80"/>
                <w:sz w:val="24"/>
                <w:szCs w:val="24"/>
              </w:rPr>
              <w:t>Description</w:t>
            </w:r>
          </w:p>
        </w:tc>
        <w:tc>
          <w:tcPr>
            <w:tcW w:w="1619" w:type="dxa"/>
          </w:tcPr>
          <w:p w14:paraId="519753A0" w14:textId="5090283C" w:rsidR="004758AD" w:rsidRPr="005D0574" w:rsidRDefault="00D95266" w:rsidP="007C7613">
            <w:pPr>
              <w:rPr>
                <w:rFonts w:ascii="Verdana" w:hAnsi="Verdana" w:cs="Arial"/>
                <w:b/>
                <w:bCs/>
                <w:color w:val="385623" w:themeColor="accent6" w:themeShade="80"/>
                <w:sz w:val="24"/>
                <w:szCs w:val="24"/>
              </w:rPr>
            </w:pPr>
            <w:r w:rsidRPr="005D0574">
              <w:rPr>
                <w:rFonts w:ascii="Verdana" w:hAnsi="Verdana" w:cs="Arial"/>
                <w:b/>
                <w:bCs/>
                <w:color w:val="385623" w:themeColor="accent6" w:themeShade="80"/>
                <w:sz w:val="24"/>
                <w:szCs w:val="24"/>
              </w:rPr>
              <w:t>Paragraph</w:t>
            </w:r>
          </w:p>
        </w:tc>
      </w:tr>
      <w:tr w:rsidR="00B96713" w:rsidRPr="00B96713" w14:paraId="14906A3B" w14:textId="77777777" w:rsidTr="005D0574">
        <w:tc>
          <w:tcPr>
            <w:tcW w:w="1980" w:type="dxa"/>
          </w:tcPr>
          <w:p w14:paraId="22945792" w14:textId="00A042D7" w:rsidR="00A53D29" w:rsidRPr="00B96713" w:rsidRDefault="00B96713" w:rsidP="007C7613">
            <w:pPr>
              <w:rPr>
                <w:rFonts w:ascii="Verdana" w:hAnsi="Verdana" w:cs="Arial"/>
                <w:color w:val="000000" w:themeColor="text1"/>
              </w:rPr>
            </w:pPr>
            <w:r w:rsidRPr="00B96713">
              <w:rPr>
                <w:rFonts w:ascii="Verdana" w:hAnsi="Verdana" w:cs="Arial"/>
                <w:color w:val="000000" w:themeColor="text1"/>
              </w:rPr>
              <w:t>3</w:t>
            </w:r>
          </w:p>
        </w:tc>
        <w:tc>
          <w:tcPr>
            <w:tcW w:w="5751" w:type="dxa"/>
          </w:tcPr>
          <w:p w14:paraId="2FF03F7A" w14:textId="75B8DDFE" w:rsidR="00A53D29" w:rsidRPr="00B96713" w:rsidRDefault="009C6D4E" w:rsidP="007C7613">
            <w:pPr>
              <w:rPr>
                <w:rFonts w:ascii="Verdana" w:hAnsi="Verdana" w:cs="Arial"/>
                <w:color w:val="000000" w:themeColor="text1"/>
              </w:rPr>
            </w:pPr>
            <w:r w:rsidRPr="00B96713">
              <w:rPr>
                <w:rFonts w:ascii="Verdana" w:hAnsi="Verdana" w:cs="Arial"/>
                <w:color w:val="000000" w:themeColor="text1"/>
              </w:rPr>
              <w:t>Introduction</w:t>
            </w:r>
          </w:p>
        </w:tc>
        <w:tc>
          <w:tcPr>
            <w:tcW w:w="1619" w:type="dxa"/>
          </w:tcPr>
          <w:p w14:paraId="2EBFF114" w14:textId="0A1B2E52" w:rsidR="00A53D29" w:rsidRPr="00B96713" w:rsidRDefault="005D0574" w:rsidP="005D0574">
            <w:pPr>
              <w:jc w:val="right"/>
              <w:rPr>
                <w:rFonts w:ascii="Verdana" w:hAnsi="Verdana" w:cs="Arial"/>
                <w:color w:val="000000" w:themeColor="text1"/>
              </w:rPr>
            </w:pPr>
            <w:r>
              <w:rPr>
                <w:rFonts w:ascii="Verdana" w:hAnsi="Verdana" w:cs="Arial"/>
                <w:color w:val="000000" w:themeColor="text1"/>
              </w:rPr>
              <w:t>1</w:t>
            </w:r>
          </w:p>
        </w:tc>
      </w:tr>
      <w:tr w:rsidR="00B96713" w:rsidRPr="00B96713" w14:paraId="48BAE40A" w14:textId="77777777" w:rsidTr="005D0574">
        <w:tc>
          <w:tcPr>
            <w:tcW w:w="1980" w:type="dxa"/>
          </w:tcPr>
          <w:p w14:paraId="0348045F" w14:textId="1F30D7DF" w:rsidR="004758AD" w:rsidRPr="00B96713" w:rsidRDefault="00B96713" w:rsidP="007C7613">
            <w:pPr>
              <w:rPr>
                <w:rFonts w:ascii="Verdana" w:hAnsi="Verdana" w:cs="Arial"/>
                <w:color w:val="000000" w:themeColor="text1"/>
              </w:rPr>
            </w:pPr>
            <w:r w:rsidRPr="00B96713">
              <w:rPr>
                <w:rFonts w:ascii="Verdana" w:hAnsi="Verdana" w:cs="Arial"/>
                <w:color w:val="000000" w:themeColor="text1"/>
              </w:rPr>
              <w:t>3</w:t>
            </w:r>
          </w:p>
        </w:tc>
        <w:tc>
          <w:tcPr>
            <w:tcW w:w="5751" w:type="dxa"/>
          </w:tcPr>
          <w:p w14:paraId="7CDC670E" w14:textId="2153CB4C" w:rsidR="004758AD" w:rsidRPr="00B96713" w:rsidRDefault="009C6D4E" w:rsidP="007C7613">
            <w:pPr>
              <w:rPr>
                <w:rFonts w:ascii="Verdana" w:hAnsi="Verdana" w:cs="Arial"/>
                <w:color w:val="000000" w:themeColor="text1"/>
              </w:rPr>
            </w:pPr>
            <w:r w:rsidRPr="00B96713">
              <w:rPr>
                <w:rFonts w:ascii="Verdana" w:hAnsi="Verdana" w:cs="Arial"/>
                <w:color w:val="000000" w:themeColor="text1"/>
              </w:rPr>
              <w:t>Purpose</w:t>
            </w:r>
          </w:p>
        </w:tc>
        <w:tc>
          <w:tcPr>
            <w:tcW w:w="1619" w:type="dxa"/>
          </w:tcPr>
          <w:p w14:paraId="2E6A8D49" w14:textId="4FCCA913" w:rsidR="004758AD" w:rsidRPr="00B96713" w:rsidRDefault="005D0574" w:rsidP="005D0574">
            <w:pPr>
              <w:jc w:val="right"/>
              <w:rPr>
                <w:rFonts w:ascii="Verdana" w:hAnsi="Verdana" w:cs="Arial"/>
                <w:color w:val="000000" w:themeColor="text1"/>
              </w:rPr>
            </w:pPr>
            <w:r>
              <w:rPr>
                <w:rFonts w:ascii="Verdana" w:hAnsi="Verdana" w:cs="Arial"/>
                <w:color w:val="000000" w:themeColor="text1"/>
              </w:rPr>
              <w:t>2</w:t>
            </w:r>
          </w:p>
        </w:tc>
      </w:tr>
      <w:tr w:rsidR="00B96713" w:rsidRPr="00B96713" w14:paraId="263C6892" w14:textId="77777777" w:rsidTr="005D0574">
        <w:tc>
          <w:tcPr>
            <w:tcW w:w="1980" w:type="dxa"/>
          </w:tcPr>
          <w:p w14:paraId="44CB2827" w14:textId="4B8D295F" w:rsidR="004758AD" w:rsidRPr="00B96713" w:rsidRDefault="00B96713" w:rsidP="007C7613">
            <w:pPr>
              <w:rPr>
                <w:rFonts w:ascii="Verdana" w:hAnsi="Verdana" w:cs="Arial"/>
                <w:color w:val="000000" w:themeColor="text1"/>
              </w:rPr>
            </w:pPr>
            <w:r w:rsidRPr="00B96713">
              <w:rPr>
                <w:rFonts w:ascii="Verdana" w:hAnsi="Verdana" w:cs="Arial"/>
                <w:color w:val="000000" w:themeColor="text1"/>
              </w:rPr>
              <w:t>3</w:t>
            </w:r>
          </w:p>
        </w:tc>
        <w:tc>
          <w:tcPr>
            <w:tcW w:w="5751" w:type="dxa"/>
          </w:tcPr>
          <w:p w14:paraId="40D035D0" w14:textId="59A9A033" w:rsidR="004758AD" w:rsidRPr="00B96713" w:rsidRDefault="005D0574" w:rsidP="007C7613">
            <w:pPr>
              <w:rPr>
                <w:rFonts w:ascii="Verdana" w:hAnsi="Verdana" w:cs="Arial"/>
                <w:color w:val="000000" w:themeColor="text1"/>
              </w:rPr>
            </w:pPr>
            <w:r>
              <w:rPr>
                <w:rFonts w:ascii="Verdana" w:hAnsi="Verdana" w:cs="Arial"/>
                <w:color w:val="000000" w:themeColor="text1"/>
              </w:rPr>
              <w:t>Legal Framework</w:t>
            </w:r>
          </w:p>
        </w:tc>
        <w:tc>
          <w:tcPr>
            <w:tcW w:w="1619" w:type="dxa"/>
          </w:tcPr>
          <w:p w14:paraId="0EAD37A5" w14:textId="01BB406E" w:rsidR="004758AD" w:rsidRPr="00B96713" w:rsidRDefault="005D0574" w:rsidP="005D0574">
            <w:pPr>
              <w:jc w:val="right"/>
              <w:rPr>
                <w:rFonts w:ascii="Verdana" w:hAnsi="Verdana" w:cs="Arial"/>
                <w:color w:val="000000" w:themeColor="text1"/>
              </w:rPr>
            </w:pPr>
            <w:r>
              <w:rPr>
                <w:rFonts w:ascii="Verdana" w:hAnsi="Verdana" w:cs="Arial"/>
                <w:color w:val="000000" w:themeColor="text1"/>
              </w:rPr>
              <w:t>3</w:t>
            </w:r>
          </w:p>
        </w:tc>
      </w:tr>
      <w:tr w:rsidR="00B96713" w:rsidRPr="00B96713" w14:paraId="7DCD29A9" w14:textId="77777777" w:rsidTr="005D0574">
        <w:tc>
          <w:tcPr>
            <w:tcW w:w="1980" w:type="dxa"/>
          </w:tcPr>
          <w:p w14:paraId="76846248" w14:textId="78253412" w:rsidR="004758AD" w:rsidRPr="00B96713" w:rsidRDefault="00B96713" w:rsidP="007C7613">
            <w:pPr>
              <w:rPr>
                <w:rFonts w:ascii="Verdana" w:hAnsi="Verdana" w:cs="Arial"/>
                <w:color w:val="000000" w:themeColor="text1"/>
              </w:rPr>
            </w:pPr>
            <w:r w:rsidRPr="00B96713">
              <w:rPr>
                <w:rFonts w:ascii="Verdana" w:hAnsi="Verdana" w:cs="Arial"/>
                <w:color w:val="000000" w:themeColor="text1"/>
              </w:rPr>
              <w:t>3</w:t>
            </w:r>
            <w:r w:rsidR="005D0574">
              <w:rPr>
                <w:rFonts w:ascii="Verdana" w:hAnsi="Verdana" w:cs="Arial"/>
                <w:color w:val="000000" w:themeColor="text1"/>
              </w:rPr>
              <w:t xml:space="preserve"> to 4</w:t>
            </w:r>
          </w:p>
        </w:tc>
        <w:tc>
          <w:tcPr>
            <w:tcW w:w="5751" w:type="dxa"/>
          </w:tcPr>
          <w:p w14:paraId="4FBB5BAB" w14:textId="1DBF74B6" w:rsidR="004758AD" w:rsidRPr="00B96713" w:rsidRDefault="009C6D4E" w:rsidP="007C7613">
            <w:pPr>
              <w:rPr>
                <w:rFonts w:ascii="Verdana" w:hAnsi="Verdana" w:cs="Arial"/>
                <w:color w:val="000000" w:themeColor="text1"/>
              </w:rPr>
            </w:pPr>
            <w:r w:rsidRPr="00B96713">
              <w:rPr>
                <w:rFonts w:ascii="Verdana" w:hAnsi="Verdana" w:cs="Arial"/>
                <w:color w:val="000000" w:themeColor="text1"/>
              </w:rPr>
              <w:t>Responsibility</w:t>
            </w:r>
          </w:p>
        </w:tc>
        <w:tc>
          <w:tcPr>
            <w:tcW w:w="1619" w:type="dxa"/>
          </w:tcPr>
          <w:p w14:paraId="61B87E2B" w14:textId="07A37AE8" w:rsidR="004758AD" w:rsidRPr="00B96713" w:rsidRDefault="005D0574" w:rsidP="005D0574">
            <w:pPr>
              <w:jc w:val="right"/>
              <w:rPr>
                <w:rFonts w:ascii="Verdana" w:hAnsi="Verdana" w:cs="Arial"/>
                <w:color w:val="000000" w:themeColor="text1"/>
              </w:rPr>
            </w:pPr>
            <w:r>
              <w:rPr>
                <w:rFonts w:ascii="Verdana" w:hAnsi="Verdana" w:cs="Arial"/>
                <w:color w:val="000000" w:themeColor="text1"/>
              </w:rPr>
              <w:t>4</w:t>
            </w:r>
          </w:p>
        </w:tc>
      </w:tr>
      <w:tr w:rsidR="005D0574" w:rsidRPr="00B96713" w14:paraId="74230A93" w14:textId="77777777" w:rsidTr="005D0574">
        <w:tc>
          <w:tcPr>
            <w:tcW w:w="1980" w:type="dxa"/>
          </w:tcPr>
          <w:p w14:paraId="5E39A73D" w14:textId="308B2F86" w:rsidR="005D0574" w:rsidRPr="00B96713" w:rsidRDefault="005D0574" w:rsidP="007C7613">
            <w:pPr>
              <w:rPr>
                <w:rFonts w:ascii="Verdana" w:hAnsi="Verdana" w:cs="Arial"/>
                <w:color w:val="000000" w:themeColor="text1"/>
              </w:rPr>
            </w:pPr>
            <w:r>
              <w:rPr>
                <w:rFonts w:ascii="Verdana" w:hAnsi="Verdana" w:cs="Arial"/>
                <w:color w:val="000000" w:themeColor="text1"/>
              </w:rPr>
              <w:t>4</w:t>
            </w:r>
          </w:p>
        </w:tc>
        <w:tc>
          <w:tcPr>
            <w:tcW w:w="5751" w:type="dxa"/>
          </w:tcPr>
          <w:p w14:paraId="64D1C6AB" w14:textId="6275249B" w:rsidR="005D0574" w:rsidRPr="00B96713" w:rsidRDefault="005D0574" w:rsidP="007C7613">
            <w:pPr>
              <w:rPr>
                <w:rFonts w:ascii="Verdana" w:hAnsi="Verdana" w:cs="Arial"/>
                <w:color w:val="000000" w:themeColor="text1"/>
              </w:rPr>
            </w:pPr>
            <w:r>
              <w:rPr>
                <w:rFonts w:ascii="Verdana" w:hAnsi="Verdana" w:cs="Arial"/>
                <w:color w:val="000000" w:themeColor="text1"/>
              </w:rPr>
              <w:t xml:space="preserve">Eligibility </w:t>
            </w:r>
          </w:p>
        </w:tc>
        <w:tc>
          <w:tcPr>
            <w:tcW w:w="1619" w:type="dxa"/>
          </w:tcPr>
          <w:p w14:paraId="5EBF8375" w14:textId="25AEB994" w:rsidR="005D0574" w:rsidRPr="00B96713" w:rsidRDefault="005D0574" w:rsidP="005D0574">
            <w:pPr>
              <w:jc w:val="right"/>
              <w:rPr>
                <w:rFonts w:ascii="Verdana" w:hAnsi="Verdana" w:cs="Arial"/>
                <w:color w:val="000000" w:themeColor="text1"/>
              </w:rPr>
            </w:pPr>
            <w:r>
              <w:rPr>
                <w:rFonts w:ascii="Verdana" w:hAnsi="Verdana" w:cs="Arial"/>
                <w:color w:val="000000" w:themeColor="text1"/>
              </w:rPr>
              <w:t>5</w:t>
            </w:r>
          </w:p>
        </w:tc>
      </w:tr>
      <w:tr w:rsidR="00B96713" w:rsidRPr="00B96713" w14:paraId="1BBC301D" w14:textId="77777777" w:rsidTr="005D0574">
        <w:tc>
          <w:tcPr>
            <w:tcW w:w="1980" w:type="dxa"/>
          </w:tcPr>
          <w:p w14:paraId="42C423C4" w14:textId="436BD4EF" w:rsidR="004758AD" w:rsidRPr="00B96713" w:rsidRDefault="005D0574" w:rsidP="007C7613">
            <w:pPr>
              <w:rPr>
                <w:rFonts w:ascii="Verdana" w:hAnsi="Verdana" w:cs="Arial"/>
                <w:color w:val="000000" w:themeColor="text1"/>
              </w:rPr>
            </w:pPr>
            <w:r>
              <w:rPr>
                <w:rFonts w:ascii="Verdana" w:hAnsi="Verdana" w:cs="Arial"/>
                <w:color w:val="000000" w:themeColor="text1"/>
              </w:rPr>
              <w:t>4 to 7</w:t>
            </w:r>
          </w:p>
        </w:tc>
        <w:tc>
          <w:tcPr>
            <w:tcW w:w="5751" w:type="dxa"/>
          </w:tcPr>
          <w:p w14:paraId="799CFB47" w14:textId="7F61608C" w:rsidR="004758AD" w:rsidRPr="00B96713" w:rsidRDefault="005D0574" w:rsidP="007C7613">
            <w:pPr>
              <w:rPr>
                <w:rFonts w:ascii="Verdana" w:hAnsi="Verdana" w:cs="Arial"/>
                <w:color w:val="000000" w:themeColor="text1"/>
              </w:rPr>
            </w:pPr>
            <w:r>
              <w:rPr>
                <w:rFonts w:ascii="Verdana" w:hAnsi="Verdana" w:cs="Arial"/>
                <w:color w:val="000000" w:themeColor="text1"/>
              </w:rPr>
              <w:t>Searching for a Mutual Exchange</w:t>
            </w:r>
          </w:p>
        </w:tc>
        <w:tc>
          <w:tcPr>
            <w:tcW w:w="1619" w:type="dxa"/>
          </w:tcPr>
          <w:p w14:paraId="1660D446" w14:textId="3B121C14" w:rsidR="004758AD" w:rsidRPr="00B96713" w:rsidRDefault="005D0574" w:rsidP="005D0574">
            <w:pPr>
              <w:jc w:val="right"/>
              <w:rPr>
                <w:rFonts w:ascii="Verdana" w:hAnsi="Verdana" w:cs="Arial"/>
                <w:color w:val="000000" w:themeColor="text1"/>
              </w:rPr>
            </w:pPr>
            <w:r>
              <w:rPr>
                <w:rFonts w:ascii="Verdana" w:hAnsi="Verdana" w:cs="Arial"/>
                <w:color w:val="000000" w:themeColor="text1"/>
              </w:rPr>
              <w:t>6</w:t>
            </w:r>
          </w:p>
        </w:tc>
      </w:tr>
      <w:tr w:rsidR="00B96713" w:rsidRPr="00B96713" w14:paraId="270F007D" w14:textId="77777777" w:rsidTr="005D0574">
        <w:tc>
          <w:tcPr>
            <w:tcW w:w="1980" w:type="dxa"/>
          </w:tcPr>
          <w:p w14:paraId="1D8E823B" w14:textId="489C9368" w:rsidR="00A53D29" w:rsidRPr="00B96713" w:rsidRDefault="005D0574" w:rsidP="007C7613">
            <w:pPr>
              <w:rPr>
                <w:rFonts w:ascii="Verdana" w:hAnsi="Verdana" w:cs="Arial"/>
                <w:color w:val="000000" w:themeColor="text1"/>
              </w:rPr>
            </w:pPr>
            <w:r>
              <w:rPr>
                <w:rFonts w:ascii="Verdana" w:hAnsi="Verdana" w:cs="Arial"/>
                <w:color w:val="000000" w:themeColor="text1"/>
              </w:rPr>
              <w:t>7 to 11</w:t>
            </w:r>
          </w:p>
        </w:tc>
        <w:tc>
          <w:tcPr>
            <w:tcW w:w="5751" w:type="dxa"/>
          </w:tcPr>
          <w:p w14:paraId="7F26E606" w14:textId="39117181" w:rsidR="00A53D29" w:rsidRPr="00B96713" w:rsidRDefault="005D0574" w:rsidP="007C7613">
            <w:pPr>
              <w:rPr>
                <w:rFonts w:ascii="Verdana" w:hAnsi="Verdana" w:cs="Arial"/>
                <w:color w:val="000000" w:themeColor="text1"/>
              </w:rPr>
            </w:pPr>
            <w:r>
              <w:rPr>
                <w:rFonts w:ascii="Verdana" w:hAnsi="Verdana" w:cs="Arial"/>
                <w:color w:val="000000" w:themeColor="text1"/>
              </w:rPr>
              <w:t>Grounds for Refusal and Conditional Consent</w:t>
            </w:r>
          </w:p>
        </w:tc>
        <w:tc>
          <w:tcPr>
            <w:tcW w:w="1619" w:type="dxa"/>
          </w:tcPr>
          <w:p w14:paraId="12537728" w14:textId="40CBF422" w:rsidR="00A53D29" w:rsidRPr="00B96713" w:rsidRDefault="005D0574" w:rsidP="005D0574">
            <w:pPr>
              <w:jc w:val="right"/>
              <w:rPr>
                <w:rFonts w:ascii="Verdana" w:hAnsi="Verdana" w:cs="Arial"/>
                <w:color w:val="000000" w:themeColor="text1"/>
              </w:rPr>
            </w:pPr>
            <w:r>
              <w:rPr>
                <w:rFonts w:ascii="Verdana" w:hAnsi="Verdana" w:cs="Arial"/>
                <w:color w:val="000000" w:themeColor="text1"/>
              </w:rPr>
              <w:t>7</w:t>
            </w:r>
          </w:p>
        </w:tc>
      </w:tr>
      <w:tr w:rsidR="00B96713" w:rsidRPr="00B96713" w14:paraId="117A5746" w14:textId="77777777" w:rsidTr="005D0574">
        <w:tc>
          <w:tcPr>
            <w:tcW w:w="1980" w:type="dxa"/>
          </w:tcPr>
          <w:p w14:paraId="059295C7" w14:textId="75B42011" w:rsidR="00A53D29" w:rsidRPr="00B96713" w:rsidRDefault="005D0574" w:rsidP="007C7613">
            <w:pPr>
              <w:rPr>
                <w:rFonts w:ascii="Verdana" w:hAnsi="Verdana" w:cs="Arial"/>
                <w:color w:val="000000" w:themeColor="text1"/>
              </w:rPr>
            </w:pPr>
            <w:r>
              <w:rPr>
                <w:rFonts w:ascii="Verdana" w:hAnsi="Verdana" w:cs="Arial"/>
                <w:color w:val="000000" w:themeColor="text1"/>
              </w:rPr>
              <w:t>11</w:t>
            </w:r>
          </w:p>
        </w:tc>
        <w:tc>
          <w:tcPr>
            <w:tcW w:w="5751" w:type="dxa"/>
          </w:tcPr>
          <w:p w14:paraId="6388A904" w14:textId="31FAAB91" w:rsidR="00A53D29" w:rsidRPr="00B96713" w:rsidRDefault="009C6D4E" w:rsidP="007C7613">
            <w:pPr>
              <w:rPr>
                <w:rFonts w:ascii="Verdana" w:hAnsi="Verdana" w:cs="Arial"/>
                <w:color w:val="000000" w:themeColor="text1"/>
              </w:rPr>
            </w:pPr>
            <w:r w:rsidRPr="00B96713">
              <w:rPr>
                <w:rFonts w:ascii="Verdana" w:hAnsi="Verdana" w:cs="Arial"/>
                <w:color w:val="000000" w:themeColor="text1"/>
              </w:rPr>
              <w:t>Appeals</w:t>
            </w:r>
          </w:p>
        </w:tc>
        <w:tc>
          <w:tcPr>
            <w:tcW w:w="1619" w:type="dxa"/>
          </w:tcPr>
          <w:p w14:paraId="0CC8E15D" w14:textId="6B619BCF" w:rsidR="00A53D29" w:rsidRPr="00B96713" w:rsidRDefault="005D0574" w:rsidP="005D0574">
            <w:pPr>
              <w:jc w:val="right"/>
              <w:rPr>
                <w:rFonts w:ascii="Verdana" w:hAnsi="Verdana" w:cs="Arial"/>
                <w:color w:val="000000" w:themeColor="text1"/>
              </w:rPr>
            </w:pPr>
            <w:r>
              <w:rPr>
                <w:rFonts w:ascii="Verdana" w:hAnsi="Verdana" w:cs="Arial"/>
                <w:color w:val="000000" w:themeColor="text1"/>
              </w:rPr>
              <w:t>8</w:t>
            </w:r>
          </w:p>
        </w:tc>
      </w:tr>
      <w:tr w:rsidR="00B96713" w:rsidRPr="00B96713" w14:paraId="7872E61D" w14:textId="77777777" w:rsidTr="005D0574">
        <w:tc>
          <w:tcPr>
            <w:tcW w:w="1980" w:type="dxa"/>
          </w:tcPr>
          <w:p w14:paraId="1D72CB89" w14:textId="05C18EA6" w:rsidR="00A53D29" w:rsidRPr="00B96713" w:rsidRDefault="005D0574" w:rsidP="007C7613">
            <w:pPr>
              <w:rPr>
                <w:rFonts w:ascii="Verdana" w:hAnsi="Verdana" w:cs="Arial"/>
                <w:color w:val="000000" w:themeColor="text1"/>
              </w:rPr>
            </w:pPr>
            <w:r>
              <w:rPr>
                <w:rFonts w:ascii="Verdana" w:hAnsi="Verdana" w:cs="Arial"/>
                <w:color w:val="000000" w:themeColor="text1"/>
              </w:rPr>
              <w:t>11</w:t>
            </w:r>
          </w:p>
        </w:tc>
        <w:tc>
          <w:tcPr>
            <w:tcW w:w="5751" w:type="dxa"/>
          </w:tcPr>
          <w:p w14:paraId="57F6F599" w14:textId="6B92D08B" w:rsidR="00A53D29" w:rsidRPr="00B96713" w:rsidRDefault="00C93FF0" w:rsidP="007C7613">
            <w:pPr>
              <w:rPr>
                <w:rFonts w:ascii="Verdana" w:hAnsi="Verdana" w:cs="Arial"/>
                <w:color w:val="000000" w:themeColor="text1"/>
              </w:rPr>
            </w:pPr>
            <w:r w:rsidRPr="00B96713">
              <w:rPr>
                <w:rFonts w:ascii="Verdana" w:hAnsi="Verdana" w:cs="Arial"/>
                <w:color w:val="000000" w:themeColor="text1"/>
              </w:rPr>
              <w:t>Related Documents</w:t>
            </w:r>
          </w:p>
        </w:tc>
        <w:tc>
          <w:tcPr>
            <w:tcW w:w="1619" w:type="dxa"/>
          </w:tcPr>
          <w:p w14:paraId="3838DC94" w14:textId="1AA33DC7" w:rsidR="00A53D29" w:rsidRPr="00B96713" w:rsidRDefault="005D0574" w:rsidP="005D0574">
            <w:pPr>
              <w:jc w:val="right"/>
              <w:rPr>
                <w:rFonts w:ascii="Verdana" w:hAnsi="Verdana" w:cs="Arial"/>
                <w:color w:val="000000" w:themeColor="text1"/>
              </w:rPr>
            </w:pPr>
            <w:r>
              <w:rPr>
                <w:rFonts w:ascii="Verdana" w:hAnsi="Verdana" w:cs="Arial"/>
                <w:color w:val="000000" w:themeColor="text1"/>
              </w:rPr>
              <w:t>9</w:t>
            </w:r>
          </w:p>
        </w:tc>
      </w:tr>
      <w:tr w:rsidR="00B96713" w:rsidRPr="00B96713" w14:paraId="3CF8C65F" w14:textId="77777777" w:rsidTr="005D0574">
        <w:tc>
          <w:tcPr>
            <w:tcW w:w="1980" w:type="dxa"/>
          </w:tcPr>
          <w:p w14:paraId="71899784" w14:textId="3C352688" w:rsidR="00C93FF0" w:rsidRPr="00B96713" w:rsidRDefault="005D0574" w:rsidP="007C7613">
            <w:pPr>
              <w:rPr>
                <w:rFonts w:ascii="Verdana" w:hAnsi="Verdana" w:cs="Arial"/>
                <w:color w:val="000000" w:themeColor="text1"/>
              </w:rPr>
            </w:pPr>
            <w:r>
              <w:rPr>
                <w:rFonts w:ascii="Verdana" w:hAnsi="Verdana" w:cs="Arial"/>
                <w:color w:val="000000" w:themeColor="text1"/>
              </w:rPr>
              <w:t>11 to 12</w:t>
            </w:r>
          </w:p>
        </w:tc>
        <w:tc>
          <w:tcPr>
            <w:tcW w:w="5751" w:type="dxa"/>
          </w:tcPr>
          <w:p w14:paraId="46868C4D" w14:textId="502A6265" w:rsidR="00C93FF0" w:rsidRPr="00B96713" w:rsidRDefault="00C93FF0" w:rsidP="007C7613">
            <w:pPr>
              <w:rPr>
                <w:rFonts w:ascii="Verdana" w:hAnsi="Verdana" w:cs="Arial"/>
                <w:color w:val="000000" w:themeColor="text1"/>
              </w:rPr>
            </w:pPr>
            <w:r w:rsidRPr="00B96713">
              <w:rPr>
                <w:rFonts w:ascii="Verdana" w:hAnsi="Verdana" w:cs="Arial"/>
                <w:color w:val="000000" w:themeColor="text1"/>
              </w:rPr>
              <w:t>References</w:t>
            </w:r>
          </w:p>
        </w:tc>
        <w:tc>
          <w:tcPr>
            <w:tcW w:w="1619" w:type="dxa"/>
          </w:tcPr>
          <w:p w14:paraId="32C14ECC" w14:textId="3A2CD1A3" w:rsidR="00C93FF0" w:rsidRPr="00B96713" w:rsidRDefault="005D0574" w:rsidP="005D0574">
            <w:pPr>
              <w:jc w:val="right"/>
              <w:rPr>
                <w:rFonts w:ascii="Verdana" w:hAnsi="Verdana" w:cs="Arial"/>
                <w:color w:val="000000" w:themeColor="text1"/>
              </w:rPr>
            </w:pPr>
            <w:r>
              <w:rPr>
                <w:rFonts w:ascii="Verdana" w:hAnsi="Verdana" w:cs="Arial"/>
                <w:color w:val="000000" w:themeColor="text1"/>
              </w:rPr>
              <w:t>10</w:t>
            </w:r>
          </w:p>
        </w:tc>
      </w:tr>
      <w:tr w:rsidR="00B96713" w:rsidRPr="00B96713" w14:paraId="3288D27A" w14:textId="77777777" w:rsidTr="005D0574">
        <w:tc>
          <w:tcPr>
            <w:tcW w:w="1980" w:type="dxa"/>
          </w:tcPr>
          <w:p w14:paraId="6AF2EA42" w14:textId="3F71C18E" w:rsidR="00A53D29" w:rsidRPr="00B96713" w:rsidRDefault="005D0574" w:rsidP="007C7613">
            <w:pPr>
              <w:rPr>
                <w:rFonts w:ascii="Verdana" w:hAnsi="Verdana" w:cs="Arial"/>
                <w:color w:val="000000" w:themeColor="text1"/>
              </w:rPr>
            </w:pPr>
            <w:r>
              <w:rPr>
                <w:rFonts w:ascii="Verdana" w:hAnsi="Verdana" w:cs="Arial"/>
                <w:color w:val="000000" w:themeColor="text1"/>
              </w:rPr>
              <w:t>12</w:t>
            </w:r>
          </w:p>
        </w:tc>
        <w:tc>
          <w:tcPr>
            <w:tcW w:w="5751" w:type="dxa"/>
          </w:tcPr>
          <w:p w14:paraId="0411CC68" w14:textId="58CEC958" w:rsidR="00A53D29" w:rsidRPr="00B96713" w:rsidRDefault="003F2733" w:rsidP="007C7613">
            <w:pPr>
              <w:rPr>
                <w:rFonts w:ascii="Verdana" w:hAnsi="Verdana" w:cs="Arial"/>
                <w:color w:val="000000" w:themeColor="text1"/>
              </w:rPr>
            </w:pPr>
            <w:r w:rsidRPr="00B96713">
              <w:rPr>
                <w:rFonts w:ascii="Verdana" w:hAnsi="Verdana" w:cs="Arial"/>
                <w:color w:val="000000" w:themeColor="text1"/>
              </w:rPr>
              <w:t>Review Date</w:t>
            </w:r>
          </w:p>
        </w:tc>
        <w:tc>
          <w:tcPr>
            <w:tcW w:w="1619" w:type="dxa"/>
          </w:tcPr>
          <w:p w14:paraId="39DB70F2" w14:textId="308FE68E" w:rsidR="00A53D29" w:rsidRPr="00B96713" w:rsidRDefault="005D0574" w:rsidP="005D0574">
            <w:pPr>
              <w:jc w:val="right"/>
              <w:rPr>
                <w:rFonts w:ascii="Verdana" w:hAnsi="Verdana" w:cs="Arial"/>
                <w:color w:val="000000" w:themeColor="text1"/>
              </w:rPr>
            </w:pPr>
            <w:r>
              <w:rPr>
                <w:rFonts w:ascii="Verdana" w:hAnsi="Verdana" w:cs="Arial"/>
                <w:color w:val="000000" w:themeColor="text1"/>
              </w:rPr>
              <w:t>11</w:t>
            </w:r>
          </w:p>
        </w:tc>
      </w:tr>
    </w:tbl>
    <w:p w14:paraId="243E023F" w14:textId="77777777" w:rsidR="007C7613" w:rsidRDefault="007C7613" w:rsidP="007C7613">
      <w:pPr>
        <w:rPr>
          <w:rFonts w:ascii="Arial" w:hAnsi="Arial" w:cs="Arial"/>
          <w:sz w:val="24"/>
          <w:szCs w:val="24"/>
        </w:rPr>
      </w:pPr>
    </w:p>
    <w:p w14:paraId="79E8DE6F" w14:textId="77777777" w:rsidR="00EB3547" w:rsidRDefault="00EB3547">
      <w:pPr>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8554"/>
      </w:tblGrid>
      <w:tr w:rsidR="00726243" w14:paraId="1866B87A" w14:textId="77777777" w:rsidTr="005D0574">
        <w:tc>
          <w:tcPr>
            <w:tcW w:w="796" w:type="dxa"/>
          </w:tcPr>
          <w:p w14:paraId="3926B3A8" w14:textId="0411756C" w:rsidR="00726243" w:rsidRPr="00726243" w:rsidRDefault="00726243" w:rsidP="00161564">
            <w:pPr>
              <w:rPr>
                <w:rFonts w:ascii="Verdana" w:hAnsi="Verdana" w:cs="Arial"/>
                <w:b/>
                <w:bCs/>
                <w:color w:val="385623" w:themeColor="accent6" w:themeShade="80"/>
                <w:sz w:val="24"/>
                <w:szCs w:val="24"/>
              </w:rPr>
            </w:pPr>
            <w:r w:rsidRPr="00726243">
              <w:rPr>
                <w:rFonts w:ascii="Verdana" w:hAnsi="Verdana" w:cs="Arial"/>
                <w:b/>
                <w:bCs/>
                <w:color w:val="385623" w:themeColor="accent6" w:themeShade="80"/>
                <w:sz w:val="24"/>
                <w:szCs w:val="24"/>
              </w:rPr>
              <w:lastRenderedPageBreak/>
              <w:t>1.</w:t>
            </w:r>
          </w:p>
        </w:tc>
        <w:tc>
          <w:tcPr>
            <w:tcW w:w="8554" w:type="dxa"/>
          </w:tcPr>
          <w:p w14:paraId="1CC6F9B8" w14:textId="42D7B5A3"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Introduction</w:t>
            </w:r>
          </w:p>
        </w:tc>
      </w:tr>
      <w:tr w:rsidR="00726243" w14:paraId="54D4C558" w14:textId="77777777" w:rsidTr="005D0574">
        <w:tc>
          <w:tcPr>
            <w:tcW w:w="796" w:type="dxa"/>
          </w:tcPr>
          <w:p w14:paraId="0F1205E5" w14:textId="62B18CE3" w:rsidR="00726243" w:rsidRPr="00C93FF0" w:rsidRDefault="00726243" w:rsidP="00161564">
            <w:pPr>
              <w:rPr>
                <w:rFonts w:ascii="Verdana" w:hAnsi="Verdana" w:cs="Arial"/>
              </w:rPr>
            </w:pPr>
            <w:r w:rsidRPr="00C93FF0">
              <w:rPr>
                <w:rFonts w:ascii="Verdana" w:hAnsi="Verdana" w:cs="Arial"/>
              </w:rPr>
              <w:t>1.1</w:t>
            </w:r>
          </w:p>
        </w:tc>
        <w:tc>
          <w:tcPr>
            <w:tcW w:w="8554" w:type="dxa"/>
          </w:tcPr>
          <w:p w14:paraId="46A1BBCC" w14:textId="62BC3681" w:rsidR="00D205CC" w:rsidRDefault="008F5D4B" w:rsidP="008F5D4B">
            <w:pPr>
              <w:tabs>
                <w:tab w:val="left" w:pos="1668"/>
              </w:tabs>
              <w:rPr>
                <w:rFonts w:ascii="Verdana" w:hAnsi="Verdana" w:cs="Arial"/>
              </w:rPr>
            </w:pPr>
            <w:r>
              <w:rPr>
                <w:rFonts w:ascii="Verdana" w:hAnsi="Verdana" w:cs="Arial"/>
              </w:rPr>
              <w:t xml:space="preserve">This </w:t>
            </w:r>
            <w:r w:rsidR="00CB4DEC">
              <w:rPr>
                <w:rFonts w:ascii="Verdana" w:hAnsi="Verdana" w:cs="Arial"/>
              </w:rPr>
              <w:t xml:space="preserve">Mutual Exchange </w:t>
            </w:r>
            <w:r>
              <w:rPr>
                <w:rFonts w:ascii="Verdana" w:hAnsi="Verdana" w:cs="Arial"/>
              </w:rPr>
              <w:t xml:space="preserve">Policy sets out </w:t>
            </w:r>
            <w:r w:rsidR="0015718F">
              <w:rPr>
                <w:rFonts w:ascii="Verdana" w:hAnsi="Verdana" w:cs="Arial"/>
              </w:rPr>
              <w:t xml:space="preserve">the framework through which </w:t>
            </w:r>
            <w:r w:rsidR="00D205CC">
              <w:rPr>
                <w:rFonts w:ascii="Verdana" w:hAnsi="Verdana" w:cs="Arial"/>
              </w:rPr>
              <w:t>tenants</w:t>
            </w:r>
            <w:r w:rsidR="0015718F">
              <w:rPr>
                <w:rFonts w:ascii="Verdana" w:hAnsi="Verdana" w:cs="Arial"/>
              </w:rPr>
              <w:t xml:space="preserve"> of Nuneaton and Bedworth Borough Council with a Secure or Flexible tenure may apply to exchange their home with another eligible tenant. </w:t>
            </w:r>
          </w:p>
          <w:p w14:paraId="4178DD76" w14:textId="0EA4D12F" w:rsidR="0048607F" w:rsidRPr="00C93FF0" w:rsidRDefault="0048607F" w:rsidP="008F5D4B">
            <w:pPr>
              <w:tabs>
                <w:tab w:val="left" w:pos="1668"/>
              </w:tabs>
              <w:rPr>
                <w:rFonts w:ascii="Verdana" w:hAnsi="Verdana" w:cs="Arial"/>
              </w:rPr>
            </w:pPr>
          </w:p>
        </w:tc>
      </w:tr>
      <w:tr w:rsidR="00041F65" w14:paraId="77E7972B" w14:textId="77777777" w:rsidTr="005D0574">
        <w:tc>
          <w:tcPr>
            <w:tcW w:w="796" w:type="dxa"/>
          </w:tcPr>
          <w:p w14:paraId="5452674D" w14:textId="77777777" w:rsidR="00041F65" w:rsidRPr="00C93FF0" w:rsidRDefault="00041F65" w:rsidP="00161564">
            <w:pPr>
              <w:rPr>
                <w:rFonts w:ascii="Verdana" w:hAnsi="Verdana" w:cs="Arial"/>
              </w:rPr>
            </w:pPr>
          </w:p>
        </w:tc>
        <w:tc>
          <w:tcPr>
            <w:tcW w:w="8554" w:type="dxa"/>
          </w:tcPr>
          <w:p w14:paraId="4C29165B" w14:textId="36032A06" w:rsidR="00041F65" w:rsidRDefault="0048607F" w:rsidP="008F5D4B">
            <w:pPr>
              <w:tabs>
                <w:tab w:val="left" w:pos="1668"/>
              </w:tabs>
              <w:rPr>
                <w:rFonts w:ascii="Verdana" w:hAnsi="Verdana" w:cs="Arial"/>
              </w:rPr>
            </w:pPr>
            <w:r>
              <w:rPr>
                <w:rFonts w:ascii="Verdana" w:hAnsi="Verdana" w:cs="Arial"/>
              </w:rPr>
              <w:t>Th</w:t>
            </w:r>
            <w:r w:rsidR="00CB4DEC">
              <w:rPr>
                <w:rFonts w:ascii="Verdana" w:hAnsi="Verdana" w:cs="Arial"/>
              </w:rPr>
              <w:t>is</w:t>
            </w:r>
            <w:r>
              <w:rPr>
                <w:rFonts w:ascii="Verdana" w:hAnsi="Verdana" w:cs="Arial"/>
              </w:rPr>
              <w:t xml:space="preserve"> Policy ensures that Mutual Exchanges are carried out fairly, transparently, and in accordance with the relevant legislation</w:t>
            </w:r>
            <w:r w:rsidR="00035508">
              <w:rPr>
                <w:rFonts w:ascii="Verdana" w:hAnsi="Verdana" w:cs="Arial"/>
              </w:rPr>
              <w:t xml:space="preserve"> and statutory guidance</w:t>
            </w:r>
            <w:r>
              <w:rPr>
                <w:rFonts w:ascii="Verdana" w:hAnsi="Verdana" w:cs="Arial"/>
              </w:rPr>
              <w:t xml:space="preserve">. </w:t>
            </w:r>
            <w:r w:rsidR="005237AA">
              <w:rPr>
                <w:rFonts w:ascii="Verdana" w:hAnsi="Verdana" w:cs="Arial"/>
              </w:rPr>
              <w:t xml:space="preserve">This Policy will also support </w:t>
            </w:r>
            <w:r w:rsidR="00F85564">
              <w:rPr>
                <w:rFonts w:ascii="Verdana" w:hAnsi="Verdana" w:cs="Arial"/>
              </w:rPr>
              <w:t>the Council’s</w:t>
            </w:r>
            <w:r w:rsidR="005237AA">
              <w:rPr>
                <w:rFonts w:ascii="Verdana" w:hAnsi="Verdana" w:cs="Arial"/>
              </w:rPr>
              <w:t xml:space="preserve"> commitment to making best u</w:t>
            </w:r>
            <w:r w:rsidR="00575D70">
              <w:rPr>
                <w:rFonts w:ascii="Verdana" w:hAnsi="Verdana" w:cs="Arial"/>
              </w:rPr>
              <w:t xml:space="preserve">se of its housing stock, promoting tenant mobility and fostering sustainable communities. </w:t>
            </w:r>
          </w:p>
          <w:p w14:paraId="7851DF11" w14:textId="78CF986B" w:rsidR="0048607F" w:rsidRDefault="0048607F" w:rsidP="008F5D4B">
            <w:pPr>
              <w:tabs>
                <w:tab w:val="left" w:pos="1668"/>
              </w:tabs>
              <w:rPr>
                <w:rFonts w:ascii="Verdana" w:hAnsi="Verdana" w:cs="Arial"/>
              </w:rPr>
            </w:pPr>
          </w:p>
        </w:tc>
      </w:tr>
      <w:tr w:rsidR="00726243" w14:paraId="22B367F6" w14:textId="77777777" w:rsidTr="005D0574">
        <w:tc>
          <w:tcPr>
            <w:tcW w:w="796" w:type="dxa"/>
          </w:tcPr>
          <w:p w14:paraId="1EE02A37" w14:textId="0E890D96"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2.</w:t>
            </w:r>
          </w:p>
        </w:tc>
        <w:tc>
          <w:tcPr>
            <w:tcW w:w="8554" w:type="dxa"/>
          </w:tcPr>
          <w:p w14:paraId="18C04212" w14:textId="0F3E99EA"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Purpose</w:t>
            </w:r>
          </w:p>
        </w:tc>
      </w:tr>
      <w:tr w:rsidR="00CD7201" w14:paraId="4A58467C" w14:textId="77777777" w:rsidTr="005D0574">
        <w:tc>
          <w:tcPr>
            <w:tcW w:w="796" w:type="dxa"/>
          </w:tcPr>
          <w:p w14:paraId="65D1A71B" w14:textId="42042DF6" w:rsidR="00CD7201" w:rsidRPr="00A75ED2" w:rsidRDefault="00CD7201" w:rsidP="00161564">
            <w:pPr>
              <w:rPr>
                <w:rFonts w:ascii="Verdana" w:hAnsi="Verdana" w:cs="Arial"/>
              </w:rPr>
            </w:pPr>
            <w:r w:rsidRPr="00A75ED2">
              <w:rPr>
                <w:rFonts w:ascii="Verdana" w:hAnsi="Verdana" w:cs="Arial"/>
              </w:rPr>
              <w:t>2.1</w:t>
            </w:r>
          </w:p>
        </w:tc>
        <w:tc>
          <w:tcPr>
            <w:tcW w:w="8554" w:type="dxa"/>
          </w:tcPr>
          <w:p w14:paraId="760596AF" w14:textId="77777777" w:rsidR="00CD7201" w:rsidRPr="00A75ED2" w:rsidRDefault="00A75ED2" w:rsidP="00161564">
            <w:pPr>
              <w:rPr>
                <w:rFonts w:ascii="Verdana" w:hAnsi="Verdana" w:cs="Arial"/>
              </w:rPr>
            </w:pPr>
            <w:r w:rsidRPr="00A75ED2">
              <w:rPr>
                <w:rFonts w:ascii="Verdana" w:hAnsi="Verdana" w:cs="Arial"/>
              </w:rPr>
              <w:t>The purpose of this Policy is to:</w:t>
            </w:r>
          </w:p>
          <w:p w14:paraId="6922641B" w14:textId="77777777" w:rsidR="00A75ED2" w:rsidRPr="00A75ED2" w:rsidRDefault="00A75ED2" w:rsidP="00161564">
            <w:pPr>
              <w:rPr>
                <w:rFonts w:ascii="Verdana" w:hAnsi="Verdana" w:cs="Arial"/>
              </w:rPr>
            </w:pPr>
          </w:p>
          <w:p w14:paraId="714061B9" w14:textId="7EC613B8" w:rsidR="002C7A88" w:rsidRPr="002C7A88" w:rsidRDefault="002C7A88" w:rsidP="002C7A88">
            <w:pPr>
              <w:pStyle w:val="ListParagraph"/>
              <w:numPr>
                <w:ilvl w:val="0"/>
                <w:numId w:val="2"/>
              </w:numPr>
              <w:rPr>
                <w:rFonts w:ascii="Verdana" w:hAnsi="Verdana" w:cs="Arial"/>
              </w:rPr>
            </w:pPr>
            <w:r>
              <w:rPr>
                <w:rFonts w:ascii="Verdana" w:hAnsi="Verdana" w:cs="Arial"/>
              </w:rPr>
              <w:t xml:space="preserve">To provide clear guidance on </w:t>
            </w:r>
            <w:r w:rsidR="009B2AB1">
              <w:rPr>
                <w:rFonts w:ascii="Verdana" w:hAnsi="Verdana" w:cs="Arial"/>
              </w:rPr>
              <w:t>tenants’</w:t>
            </w:r>
            <w:r>
              <w:rPr>
                <w:rFonts w:ascii="Verdana" w:hAnsi="Verdana" w:cs="Arial"/>
              </w:rPr>
              <w:t xml:space="preserve"> rights and responsibilities concerning a mutual exchange.</w:t>
            </w:r>
          </w:p>
          <w:p w14:paraId="2FADF1D2" w14:textId="09385746" w:rsidR="00A75ED2" w:rsidRDefault="00A75ED2" w:rsidP="00A75ED2">
            <w:pPr>
              <w:pStyle w:val="ListParagraph"/>
              <w:numPr>
                <w:ilvl w:val="0"/>
                <w:numId w:val="2"/>
              </w:numPr>
              <w:rPr>
                <w:rFonts w:ascii="Verdana" w:hAnsi="Verdana" w:cs="Arial"/>
              </w:rPr>
            </w:pPr>
            <w:r w:rsidRPr="00A75ED2">
              <w:rPr>
                <w:rFonts w:ascii="Verdana" w:hAnsi="Verdana" w:cs="Arial"/>
              </w:rPr>
              <w:t xml:space="preserve">Ensure the assignment of council owned properties complies with legislation, statutory guidance and good practise. </w:t>
            </w:r>
          </w:p>
          <w:p w14:paraId="02146FD2" w14:textId="7A3DCE4B" w:rsidR="00A75ED2" w:rsidRDefault="00A75ED2" w:rsidP="00A75ED2">
            <w:pPr>
              <w:pStyle w:val="ListParagraph"/>
              <w:numPr>
                <w:ilvl w:val="0"/>
                <w:numId w:val="2"/>
              </w:numPr>
              <w:rPr>
                <w:rFonts w:ascii="Verdana" w:hAnsi="Verdana" w:cs="Arial"/>
              </w:rPr>
            </w:pPr>
            <w:r>
              <w:rPr>
                <w:rFonts w:ascii="Verdana" w:hAnsi="Verdana" w:cs="Arial"/>
              </w:rPr>
              <w:t>Treat all tenants for housing fairly, whilst being sensitive to their circumstances.</w:t>
            </w:r>
          </w:p>
          <w:p w14:paraId="35C09186" w14:textId="63671B74" w:rsidR="00A75ED2" w:rsidRPr="00ED6AC1" w:rsidRDefault="009B2AB1" w:rsidP="00ED6AC1">
            <w:pPr>
              <w:pStyle w:val="ListParagraph"/>
              <w:numPr>
                <w:ilvl w:val="0"/>
                <w:numId w:val="2"/>
              </w:numPr>
              <w:rPr>
                <w:rFonts w:ascii="Verdana" w:hAnsi="Verdana" w:cs="Arial"/>
              </w:rPr>
            </w:pPr>
            <w:r>
              <w:rPr>
                <w:rFonts w:ascii="Verdana" w:hAnsi="Verdana" w:cs="Arial"/>
              </w:rPr>
              <w:t xml:space="preserve">To enable tenants to move to more suitable or preferred properties whilst ensuring </w:t>
            </w:r>
            <w:r w:rsidR="00ED6AC1">
              <w:rPr>
                <w:rFonts w:ascii="Verdana" w:hAnsi="Verdana" w:cs="Arial"/>
              </w:rPr>
              <w:t>the Council maintain control and m</w:t>
            </w:r>
            <w:r w:rsidR="00A75ED2" w:rsidRPr="00ED6AC1">
              <w:rPr>
                <w:rFonts w:ascii="Verdana" w:hAnsi="Verdana" w:cs="Arial"/>
              </w:rPr>
              <w:t xml:space="preserve">ake best use of its housing stock; and </w:t>
            </w:r>
          </w:p>
          <w:p w14:paraId="483F00FE" w14:textId="7865C08C" w:rsidR="00A75ED2" w:rsidRPr="00A75ED2" w:rsidRDefault="0010176C" w:rsidP="00A75ED2">
            <w:pPr>
              <w:pStyle w:val="ListParagraph"/>
              <w:numPr>
                <w:ilvl w:val="0"/>
                <w:numId w:val="2"/>
              </w:numPr>
              <w:rPr>
                <w:rFonts w:ascii="Verdana" w:hAnsi="Verdana" w:cs="Arial"/>
              </w:rPr>
            </w:pPr>
            <w:r>
              <w:rPr>
                <w:rFonts w:ascii="Verdana" w:hAnsi="Verdana" w:cs="Arial"/>
              </w:rPr>
              <w:t xml:space="preserve">To promote sustainable, inclusive communities through </w:t>
            </w:r>
            <w:r w:rsidR="003D2166">
              <w:rPr>
                <w:rFonts w:ascii="Verdana" w:hAnsi="Verdana" w:cs="Arial"/>
              </w:rPr>
              <w:t xml:space="preserve">effective housing management. </w:t>
            </w:r>
          </w:p>
          <w:p w14:paraId="3704B31E" w14:textId="7E727E17" w:rsidR="00A75ED2" w:rsidRPr="00A75ED2" w:rsidRDefault="00A75ED2" w:rsidP="00161564">
            <w:pPr>
              <w:rPr>
                <w:rFonts w:ascii="Verdana" w:hAnsi="Verdana" w:cs="Arial"/>
              </w:rPr>
            </w:pPr>
          </w:p>
        </w:tc>
      </w:tr>
      <w:tr w:rsidR="00726243" w14:paraId="78FE7CCA" w14:textId="77777777" w:rsidTr="005D0574">
        <w:tc>
          <w:tcPr>
            <w:tcW w:w="796" w:type="dxa"/>
          </w:tcPr>
          <w:p w14:paraId="5796712C" w14:textId="7CC713A6"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3.</w:t>
            </w:r>
          </w:p>
        </w:tc>
        <w:tc>
          <w:tcPr>
            <w:tcW w:w="8554" w:type="dxa"/>
          </w:tcPr>
          <w:p w14:paraId="41807B14" w14:textId="36B1BBEA" w:rsidR="00726243" w:rsidRPr="00C93FF0" w:rsidRDefault="0018708A"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Legal Framework</w:t>
            </w:r>
          </w:p>
        </w:tc>
      </w:tr>
      <w:tr w:rsidR="00CD7201" w14:paraId="558EF67E" w14:textId="77777777" w:rsidTr="005D0574">
        <w:tc>
          <w:tcPr>
            <w:tcW w:w="796" w:type="dxa"/>
          </w:tcPr>
          <w:p w14:paraId="38E8EA65" w14:textId="0F1DFDA7" w:rsidR="00CD7201" w:rsidRPr="003A37B6" w:rsidRDefault="00CD7201" w:rsidP="00161564">
            <w:pPr>
              <w:rPr>
                <w:rFonts w:ascii="Verdana" w:hAnsi="Verdana" w:cs="Arial"/>
              </w:rPr>
            </w:pPr>
            <w:r w:rsidRPr="003A37B6">
              <w:rPr>
                <w:rFonts w:ascii="Verdana" w:hAnsi="Verdana" w:cs="Arial"/>
              </w:rPr>
              <w:t>3.1</w:t>
            </w:r>
          </w:p>
        </w:tc>
        <w:tc>
          <w:tcPr>
            <w:tcW w:w="8554" w:type="dxa"/>
          </w:tcPr>
          <w:p w14:paraId="1A467A4D" w14:textId="3AAA08BA" w:rsidR="003A37B6" w:rsidRDefault="0018708A" w:rsidP="0018708A">
            <w:pPr>
              <w:rPr>
                <w:rFonts w:ascii="Verdana" w:hAnsi="Verdana" w:cs="Arial"/>
              </w:rPr>
            </w:pPr>
            <w:r>
              <w:rPr>
                <w:rFonts w:ascii="Verdana" w:hAnsi="Verdana" w:cs="Arial"/>
              </w:rPr>
              <w:t>This Mutual Exchange Policy is governed by:</w:t>
            </w:r>
          </w:p>
          <w:p w14:paraId="38623E0E" w14:textId="77777777" w:rsidR="00595EAB" w:rsidRDefault="00595EAB" w:rsidP="0018708A">
            <w:pPr>
              <w:rPr>
                <w:rFonts w:ascii="Verdana" w:hAnsi="Verdana" w:cs="Arial"/>
              </w:rPr>
            </w:pPr>
          </w:p>
          <w:p w14:paraId="56DE5AD4" w14:textId="3059E0B4" w:rsidR="0018708A" w:rsidRDefault="0018708A" w:rsidP="0018708A">
            <w:pPr>
              <w:pStyle w:val="ListParagraph"/>
              <w:numPr>
                <w:ilvl w:val="0"/>
                <w:numId w:val="16"/>
              </w:numPr>
              <w:rPr>
                <w:rFonts w:ascii="Verdana" w:hAnsi="Verdana" w:cs="Arial"/>
              </w:rPr>
            </w:pPr>
            <w:r>
              <w:rPr>
                <w:rFonts w:ascii="Verdana" w:hAnsi="Verdana" w:cs="Arial"/>
              </w:rPr>
              <w:t>Housing Act 1985</w:t>
            </w:r>
          </w:p>
          <w:p w14:paraId="7836EDA2" w14:textId="56D86688" w:rsidR="00942977" w:rsidRDefault="00942977" w:rsidP="0018708A">
            <w:pPr>
              <w:pStyle w:val="ListParagraph"/>
              <w:numPr>
                <w:ilvl w:val="0"/>
                <w:numId w:val="16"/>
              </w:numPr>
              <w:rPr>
                <w:rFonts w:ascii="Verdana" w:hAnsi="Verdana" w:cs="Arial"/>
              </w:rPr>
            </w:pPr>
            <w:r>
              <w:rPr>
                <w:rFonts w:ascii="Verdana" w:hAnsi="Verdana" w:cs="Arial"/>
              </w:rPr>
              <w:t>Landlord &amp; Tenant Act 1985</w:t>
            </w:r>
          </w:p>
          <w:p w14:paraId="0698CA58" w14:textId="77777777" w:rsidR="00942977" w:rsidRPr="00942977" w:rsidRDefault="00942977" w:rsidP="0018708A">
            <w:pPr>
              <w:pStyle w:val="ListParagraph"/>
              <w:numPr>
                <w:ilvl w:val="0"/>
                <w:numId w:val="16"/>
              </w:numPr>
              <w:rPr>
                <w:rFonts w:ascii="Verdana" w:hAnsi="Verdana" w:cs="Arial"/>
                <w:i/>
                <w:iCs/>
                <w:sz w:val="20"/>
                <w:szCs w:val="20"/>
              </w:rPr>
            </w:pPr>
            <w:r>
              <w:rPr>
                <w:rFonts w:ascii="Verdana" w:hAnsi="Verdana" w:cs="Arial"/>
              </w:rPr>
              <w:t>Equality Act 2010</w:t>
            </w:r>
          </w:p>
          <w:p w14:paraId="37DCAF54" w14:textId="59B16C68" w:rsidR="0018708A" w:rsidRPr="00C96CCC" w:rsidRDefault="0018708A" w:rsidP="0018708A">
            <w:pPr>
              <w:pStyle w:val="ListParagraph"/>
              <w:numPr>
                <w:ilvl w:val="0"/>
                <w:numId w:val="16"/>
              </w:numPr>
              <w:rPr>
                <w:rFonts w:ascii="Verdana" w:hAnsi="Verdana" w:cs="Arial"/>
                <w:i/>
                <w:iCs/>
                <w:sz w:val="20"/>
                <w:szCs w:val="20"/>
              </w:rPr>
            </w:pPr>
            <w:r>
              <w:rPr>
                <w:rFonts w:ascii="Verdana" w:hAnsi="Verdana" w:cs="Arial"/>
              </w:rPr>
              <w:t>Localism Act 2011</w:t>
            </w:r>
          </w:p>
          <w:p w14:paraId="16A87D27" w14:textId="5E0B65AA" w:rsidR="0018708A" w:rsidRDefault="0018708A" w:rsidP="0018708A">
            <w:pPr>
              <w:pStyle w:val="ListParagraph"/>
              <w:numPr>
                <w:ilvl w:val="0"/>
                <w:numId w:val="16"/>
              </w:numPr>
              <w:rPr>
                <w:rFonts w:ascii="Verdana" w:hAnsi="Verdana" w:cs="Arial"/>
              </w:rPr>
            </w:pPr>
            <w:r>
              <w:rPr>
                <w:rFonts w:ascii="Verdana" w:hAnsi="Verdana" w:cs="Arial"/>
              </w:rPr>
              <w:t>Anti-Social Behaviour, Crime and Policing A</w:t>
            </w:r>
            <w:r w:rsidR="00C96CCC">
              <w:rPr>
                <w:rFonts w:ascii="Verdana" w:hAnsi="Verdana" w:cs="Arial"/>
              </w:rPr>
              <w:t>ct</w:t>
            </w:r>
            <w:r>
              <w:rPr>
                <w:rFonts w:ascii="Verdana" w:hAnsi="Verdana" w:cs="Arial"/>
              </w:rPr>
              <w:t xml:space="preserve"> 2014</w:t>
            </w:r>
          </w:p>
          <w:p w14:paraId="0FCFF9F7" w14:textId="361B4C21" w:rsidR="003A7D85" w:rsidRDefault="003A7D85" w:rsidP="0018708A">
            <w:pPr>
              <w:pStyle w:val="ListParagraph"/>
              <w:numPr>
                <w:ilvl w:val="0"/>
                <w:numId w:val="16"/>
              </w:numPr>
              <w:rPr>
                <w:rFonts w:ascii="Verdana" w:hAnsi="Verdana" w:cs="Arial"/>
              </w:rPr>
            </w:pPr>
            <w:r>
              <w:rPr>
                <w:rFonts w:ascii="Verdana" w:hAnsi="Verdana" w:cs="Arial"/>
              </w:rPr>
              <w:t>Social Housing Regulation Act 2023</w:t>
            </w:r>
          </w:p>
          <w:p w14:paraId="6AE5A678" w14:textId="512C862A" w:rsidR="003A7D85" w:rsidRDefault="003A7D85" w:rsidP="0018708A">
            <w:pPr>
              <w:pStyle w:val="ListParagraph"/>
              <w:numPr>
                <w:ilvl w:val="0"/>
                <w:numId w:val="16"/>
              </w:numPr>
              <w:rPr>
                <w:rFonts w:ascii="Verdana" w:hAnsi="Verdana" w:cs="Arial"/>
              </w:rPr>
            </w:pPr>
            <w:r>
              <w:rPr>
                <w:rFonts w:ascii="Verdana" w:hAnsi="Verdana" w:cs="Arial"/>
              </w:rPr>
              <w:t>Consumer Standards Code of Practise 2024</w:t>
            </w:r>
          </w:p>
          <w:p w14:paraId="5A750007" w14:textId="4E56AD89" w:rsidR="00C96CCC" w:rsidRPr="00942977" w:rsidRDefault="00C96CCC" w:rsidP="00942977">
            <w:pPr>
              <w:ind w:left="360"/>
              <w:rPr>
                <w:rFonts w:ascii="Verdana" w:hAnsi="Verdana" w:cs="Arial"/>
              </w:rPr>
            </w:pPr>
          </w:p>
        </w:tc>
      </w:tr>
      <w:tr w:rsidR="00726243" w14:paraId="7948A354" w14:textId="77777777" w:rsidTr="005D0574">
        <w:tc>
          <w:tcPr>
            <w:tcW w:w="796" w:type="dxa"/>
          </w:tcPr>
          <w:p w14:paraId="0DBB8D62" w14:textId="3347111E"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4.</w:t>
            </w:r>
          </w:p>
        </w:tc>
        <w:tc>
          <w:tcPr>
            <w:tcW w:w="8554" w:type="dxa"/>
          </w:tcPr>
          <w:p w14:paraId="6F2BAAE9" w14:textId="377AD843"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Responsibility</w:t>
            </w:r>
          </w:p>
        </w:tc>
      </w:tr>
      <w:tr w:rsidR="00726243" w14:paraId="37A16106" w14:textId="77777777" w:rsidTr="005D0574">
        <w:tc>
          <w:tcPr>
            <w:tcW w:w="796" w:type="dxa"/>
          </w:tcPr>
          <w:p w14:paraId="2922EFF4" w14:textId="0CC59092" w:rsidR="00726243" w:rsidRPr="00C93FF0" w:rsidRDefault="00726243" w:rsidP="00161564">
            <w:pPr>
              <w:rPr>
                <w:rFonts w:ascii="Verdana" w:hAnsi="Verdana" w:cs="Arial"/>
              </w:rPr>
            </w:pPr>
            <w:r w:rsidRPr="00C93FF0">
              <w:rPr>
                <w:rFonts w:ascii="Verdana" w:hAnsi="Verdana" w:cs="Arial"/>
              </w:rPr>
              <w:t>4.1.</w:t>
            </w:r>
          </w:p>
        </w:tc>
        <w:tc>
          <w:tcPr>
            <w:tcW w:w="8554" w:type="dxa"/>
          </w:tcPr>
          <w:p w14:paraId="011C6983" w14:textId="77777777" w:rsidR="00726243" w:rsidRPr="00C93FF0" w:rsidRDefault="00C93FF0" w:rsidP="00161564">
            <w:pPr>
              <w:rPr>
                <w:rFonts w:ascii="Verdana" w:hAnsi="Verdana" w:cs="Arial"/>
              </w:rPr>
            </w:pPr>
            <w:r w:rsidRPr="00C93FF0">
              <w:rPr>
                <w:rFonts w:ascii="Verdana" w:hAnsi="Verdana" w:cs="Arial"/>
              </w:rPr>
              <w:t>The Assistant Director for Social Housing &amp; Community Safety retains overall responsibility for the implementation of this policy.</w:t>
            </w:r>
          </w:p>
          <w:p w14:paraId="3C5C2FC5" w14:textId="67CC1E5B" w:rsidR="00C93FF0" w:rsidRPr="00C93FF0" w:rsidRDefault="00C93FF0" w:rsidP="00161564">
            <w:pPr>
              <w:rPr>
                <w:rFonts w:ascii="Verdana" w:hAnsi="Verdana" w:cs="Arial"/>
              </w:rPr>
            </w:pPr>
          </w:p>
        </w:tc>
      </w:tr>
      <w:tr w:rsidR="00C93FF0" w14:paraId="7090B56A" w14:textId="77777777" w:rsidTr="005D0574">
        <w:tc>
          <w:tcPr>
            <w:tcW w:w="796" w:type="dxa"/>
          </w:tcPr>
          <w:p w14:paraId="424312CE" w14:textId="445EBA42" w:rsidR="00C93FF0" w:rsidRPr="00C93FF0" w:rsidRDefault="00C93FF0" w:rsidP="00161564">
            <w:pPr>
              <w:rPr>
                <w:rFonts w:ascii="Verdana" w:hAnsi="Verdana" w:cs="Arial"/>
              </w:rPr>
            </w:pPr>
            <w:r w:rsidRPr="00C93FF0">
              <w:rPr>
                <w:rFonts w:ascii="Verdana" w:hAnsi="Verdana" w:cs="Arial"/>
              </w:rPr>
              <w:t>4.2.</w:t>
            </w:r>
          </w:p>
        </w:tc>
        <w:tc>
          <w:tcPr>
            <w:tcW w:w="8554" w:type="dxa"/>
          </w:tcPr>
          <w:p w14:paraId="707C6426" w14:textId="77777777" w:rsidR="00C93FF0" w:rsidRPr="00C93FF0" w:rsidRDefault="00C93FF0" w:rsidP="00161564">
            <w:pPr>
              <w:rPr>
                <w:rFonts w:ascii="Verdana" w:hAnsi="Verdana" w:cs="Arial"/>
              </w:rPr>
            </w:pPr>
            <w:r w:rsidRPr="00C93FF0">
              <w:rPr>
                <w:rFonts w:ascii="Verdana" w:hAnsi="Verdana" w:cs="Arial"/>
              </w:rPr>
              <w:t>The operational day to day delivery of the policy is the responsibility of the Landlord Services Manager.</w:t>
            </w:r>
          </w:p>
          <w:p w14:paraId="2235447A" w14:textId="7B73AF78" w:rsidR="00C93FF0" w:rsidRPr="00C93FF0" w:rsidRDefault="00C93FF0" w:rsidP="00161564">
            <w:pPr>
              <w:rPr>
                <w:rFonts w:ascii="Verdana" w:hAnsi="Verdana" w:cs="Arial"/>
              </w:rPr>
            </w:pPr>
          </w:p>
        </w:tc>
      </w:tr>
      <w:tr w:rsidR="00C93FF0" w14:paraId="449BB8E3" w14:textId="77777777" w:rsidTr="005D0574">
        <w:tc>
          <w:tcPr>
            <w:tcW w:w="796" w:type="dxa"/>
          </w:tcPr>
          <w:p w14:paraId="7EDA69BC" w14:textId="610182A4" w:rsidR="00C93FF0" w:rsidRPr="00C93FF0" w:rsidRDefault="00C93FF0" w:rsidP="00161564">
            <w:pPr>
              <w:rPr>
                <w:rFonts w:ascii="Verdana" w:hAnsi="Verdana" w:cs="Arial"/>
              </w:rPr>
            </w:pPr>
            <w:r w:rsidRPr="00C93FF0">
              <w:rPr>
                <w:rFonts w:ascii="Verdana" w:hAnsi="Verdana" w:cs="Arial"/>
              </w:rPr>
              <w:lastRenderedPageBreak/>
              <w:t>4.3.</w:t>
            </w:r>
          </w:p>
        </w:tc>
        <w:tc>
          <w:tcPr>
            <w:tcW w:w="8554" w:type="dxa"/>
          </w:tcPr>
          <w:p w14:paraId="486B5E32" w14:textId="02BC8C0B" w:rsidR="00C93FF0" w:rsidRPr="00C93FF0" w:rsidRDefault="00C93FF0" w:rsidP="00161564">
            <w:pPr>
              <w:rPr>
                <w:rFonts w:ascii="Verdana" w:hAnsi="Verdana" w:cs="Arial"/>
              </w:rPr>
            </w:pPr>
            <w:r w:rsidRPr="00C93FF0">
              <w:rPr>
                <w:rFonts w:ascii="Verdana" w:hAnsi="Verdana" w:cs="Arial"/>
              </w:rPr>
              <w:t>Compliance with this policy from Officers will be randomly monitored through monthly 1</w:t>
            </w:r>
            <w:r>
              <w:rPr>
                <w:rFonts w:ascii="Verdana" w:hAnsi="Verdana" w:cs="Arial"/>
              </w:rPr>
              <w:t>2</w:t>
            </w:r>
            <w:r w:rsidRPr="00C93FF0">
              <w:rPr>
                <w:rFonts w:ascii="Verdana" w:hAnsi="Verdana" w:cs="Arial"/>
              </w:rPr>
              <w:t>1’s and quality &amp; assurance exercises by the</w:t>
            </w:r>
            <w:r w:rsidR="00835036">
              <w:rPr>
                <w:rFonts w:ascii="Verdana" w:hAnsi="Verdana" w:cs="Arial"/>
              </w:rPr>
              <w:t xml:space="preserve"> respective</w:t>
            </w:r>
            <w:r w:rsidR="00D64097">
              <w:rPr>
                <w:rFonts w:ascii="Verdana" w:hAnsi="Verdana" w:cs="Arial"/>
              </w:rPr>
              <w:t xml:space="preserve"> Team Leaders</w:t>
            </w:r>
            <w:r w:rsidRPr="00C93FF0">
              <w:rPr>
                <w:rFonts w:ascii="Verdana" w:hAnsi="Verdana" w:cs="Arial"/>
              </w:rPr>
              <w:t>.</w:t>
            </w:r>
          </w:p>
          <w:p w14:paraId="1C174AC2" w14:textId="2E858B75" w:rsidR="00C93FF0" w:rsidRPr="00C93FF0" w:rsidRDefault="00C93FF0" w:rsidP="00161564">
            <w:pPr>
              <w:rPr>
                <w:rFonts w:ascii="Verdana" w:hAnsi="Verdana" w:cs="Arial"/>
              </w:rPr>
            </w:pPr>
          </w:p>
        </w:tc>
      </w:tr>
      <w:tr w:rsidR="00C93FF0" w14:paraId="36ECB2C0" w14:textId="77777777" w:rsidTr="005D0574">
        <w:tc>
          <w:tcPr>
            <w:tcW w:w="796" w:type="dxa"/>
          </w:tcPr>
          <w:p w14:paraId="0FE8F132" w14:textId="3A969168" w:rsidR="00C93FF0" w:rsidRPr="00C93FF0" w:rsidRDefault="00C93FF0" w:rsidP="00161564">
            <w:pPr>
              <w:rPr>
                <w:rFonts w:ascii="Verdana" w:hAnsi="Verdana" w:cs="Arial"/>
              </w:rPr>
            </w:pPr>
            <w:r w:rsidRPr="00C93FF0">
              <w:rPr>
                <w:rFonts w:ascii="Verdana" w:hAnsi="Verdana" w:cs="Arial"/>
              </w:rPr>
              <w:t>4.4</w:t>
            </w:r>
          </w:p>
        </w:tc>
        <w:tc>
          <w:tcPr>
            <w:tcW w:w="8554" w:type="dxa"/>
          </w:tcPr>
          <w:p w14:paraId="1CA63D14" w14:textId="5EBAE9A7" w:rsidR="00C93FF0" w:rsidRPr="00C93FF0" w:rsidRDefault="00C93FF0" w:rsidP="00161564">
            <w:pPr>
              <w:rPr>
                <w:rFonts w:ascii="Verdana" w:hAnsi="Verdana" w:cs="Arial"/>
              </w:rPr>
            </w:pPr>
            <w:r w:rsidRPr="00C93FF0">
              <w:rPr>
                <w:rFonts w:ascii="Verdana" w:hAnsi="Verdana" w:cs="Arial"/>
              </w:rPr>
              <w:t xml:space="preserve">All staff managing cases are responsible for reading and familiarising themselves with this policy and the associated procedures. </w:t>
            </w:r>
          </w:p>
          <w:p w14:paraId="7679BA4A" w14:textId="77777777" w:rsidR="00C93FF0" w:rsidRPr="00C93FF0" w:rsidRDefault="00C93FF0" w:rsidP="00161564">
            <w:pPr>
              <w:rPr>
                <w:rFonts w:ascii="Verdana" w:hAnsi="Verdana" w:cs="Arial"/>
              </w:rPr>
            </w:pPr>
          </w:p>
        </w:tc>
      </w:tr>
      <w:tr w:rsidR="00726243" w14:paraId="1FE8DF07" w14:textId="77777777" w:rsidTr="005D0574">
        <w:tc>
          <w:tcPr>
            <w:tcW w:w="796" w:type="dxa"/>
          </w:tcPr>
          <w:p w14:paraId="7BA43A08" w14:textId="6C837978" w:rsidR="00726243" w:rsidRPr="00C93FF0" w:rsidRDefault="00726243" w:rsidP="00161564">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5.</w:t>
            </w:r>
          </w:p>
        </w:tc>
        <w:tc>
          <w:tcPr>
            <w:tcW w:w="8554" w:type="dxa"/>
          </w:tcPr>
          <w:p w14:paraId="66532CC1" w14:textId="672DD6CB" w:rsidR="00726243" w:rsidRPr="00C93FF0" w:rsidRDefault="003E4158" w:rsidP="00161564">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Eligibility</w:t>
            </w:r>
            <w:r w:rsidR="00585D61">
              <w:rPr>
                <w:rFonts w:ascii="Verdana" w:hAnsi="Verdana" w:cs="Arial"/>
                <w:b/>
                <w:bCs/>
                <w:color w:val="385623" w:themeColor="accent6" w:themeShade="80"/>
                <w:sz w:val="24"/>
                <w:szCs w:val="24"/>
              </w:rPr>
              <w:t xml:space="preserve"> Criteria</w:t>
            </w:r>
          </w:p>
        </w:tc>
      </w:tr>
      <w:tr w:rsidR="00CD7201" w14:paraId="671D94BF" w14:textId="77777777" w:rsidTr="005D0574">
        <w:tc>
          <w:tcPr>
            <w:tcW w:w="796" w:type="dxa"/>
          </w:tcPr>
          <w:p w14:paraId="3FA41FBF" w14:textId="5617A1AE" w:rsidR="00CD7201" w:rsidRPr="003A37B6" w:rsidRDefault="00CD7201" w:rsidP="00161564">
            <w:pPr>
              <w:rPr>
                <w:rFonts w:ascii="Verdana" w:hAnsi="Verdana" w:cs="Arial"/>
              </w:rPr>
            </w:pPr>
            <w:r w:rsidRPr="003A37B6">
              <w:rPr>
                <w:rFonts w:ascii="Verdana" w:hAnsi="Verdana" w:cs="Arial"/>
              </w:rPr>
              <w:t>5.1.</w:t>
            </w:r>
          </w:p>
        </w:tc>
        <w:tc>
          <w:tcPr>
            <w:tcW w:w="8554" w:type="dxa"/>
          </w:tcPr>
          <w:p w14:paraId="57F2F019" w14:textId="0152FA8F" w:rsidR="00D95266" w:rsidRDefault="003C7C50" w:rsidP="00F22445">
            <w:pPr>
              <w:rPr>
                <w:rFonts w:ascii="Verdana" w:hAnsi="Verdana" w:cs="Arial"/>
              </w:rPr>
            </w:pPr>
            <w:r>
              <w:rPr>
                <w:rFonts w:ascii="Verdana" w:hAnsi="Verdana" w:cs="Arial"/>
              </w:rPr>
              <w:t xml:space="preserve">Tenants that hold a </w:t>
            </w:r>
            <w:r w:rsidR="00A66A50">
              <w:rPr>
                <w:rFonts w:ascii="Verdana" w:hAnsi="Verdana" w:cs="Arial"/>
              </w:rPr>
              <w:t>S</w:t>
            </w:r>
            <w:r>
              <w:rPr>
                <w:rFonts w:ascii="Verdana" w:hAnsi="Verdana" w:cs="Arial"/>
              </w:rPr>
              <w:t xml:space="preserve">ecure </w:t>
            </w:r>
            <w:r w:rsidR="006D431D">
              <w:rPr>
                <w:rFonts w:ascii="Verdana" w:hAnsi="Verdana" w:cs="Arial"/>
              </w:rPr>
              <w:t xml:space="preserve">and Flexible </w:t>
            </w:r>
            <w:r>
              <w:rPr>
                <w:rFonts w:ascii="Verdana" w:hAnsi="Verdana" w:cs="Arial"/>
              </w:rPr>
              <w:t>tenure with the Council</w:t>
            </w:r>
            <w:r w:rsidR="007F03C9">
              <w:rPr>
                <w:rFonts w:ascii="Verdana" w:hAnsi="Verdana" w:cs="Arial"/>
              </w:rPr>
              <w:t xml:space="preserve"> are eligible to apply for a mutual exchange, subject to the Council’s consent.</w:t>
            </w:r>
            <w:r w:rsidR="00BB4910">
              <w:rPr>
                <w:rFonts w:ascii="Verdana" w:hAnsi="Verdana" w:cs="Arial"/>
              </w:rPr>
              <w:t xml:space="preserve"> Tenants are not permitted to exchange without the express consent of their Housing Provider.</w:t>
            </w:r>
          </w:p>
          <w:p w14:paraId="1662CB4A" w14:textId="2557ABF0" w:rsidR="007F03C9" w:rsidRPr="00D95266" w:rsidRDefault="007F03C9" w:rsidP="00F22445">
            <w:pPr>
              <w:rPr>
                <w:rFonts w:ascii="Verdana" w:hAnsi="Verdana" w:cs="Arial"/>
              </w:rPr>
            </w:pPr>
          </w:p>
        </w:tc>
      </w:tr>
      <w:tr w:rsidR="00DD1311" w14:paraId="6E7B8F69" w14:textId="77777777" w:rsidTr="005D0574">
        <w:tc>
          <w:tcPr>
            <w:tcW w:w="796" w:type="dxa"/>
          </w:tcPr>
          <w:p w14:paraId="443D057A" w14:textId="2094D224" w:rsidR="00DD1311" w:rsidRPr="003A37B6" w:rsidRDefault="00DD1311" w:rsidP="00161564">
            <w:pPr>
              <w:rPr>
                <w:rFonts w:ascii="Verdana" w:hAnsi="Verdana" w:cs="Arial"/>
              </w:rPr>
            </w:pPr>
            <w:r>
              <w:rPr>
                <w:rFonts w:ascii="Verdana" w:hAnsi="Verdana" w:cs="Arial"/>
              </w:rPr>
              <w:t xml:space="preserve">5.2. </w:t>
            </w:r>
          </w:p>
        </w:tc>
        <w:tc>
          <w:tcPr>
            <w:tcW w:w="8554" w:type="dxa"/>
          </w:tcPr>
          <w:p w14:paraId="07750557" w14:textId="4B2A2F92" w:rsidR="00DD1311" w:rsidRDefault="00DD1311" w:rsidP="00F22445">
            <w:pPr>
              <w:rPr>
                <w:rFonts w:ascii="Verdana" w:hAnsi="Verdana" w:cs="Arial"/>
              </w:rPr>
            </w:pPr>
            <w:r>
              <w:rPr>
                <w:rFonts w:ascii="Verdana" w:hAnsi="Verdana" w:cs="Arial"/>
              </w:rPr>
              <w:t>Tenants that ho</w:t>
            </w:r>
            <w:r w:rsidR="002358B6">
              <w:rPr>
                <w:rFonts w:ascii="Verdana" w:hAnsi="Verdana" w:cs="Arial"/>
              </w:rPr>
              <w:t>ld</w:t>
            </w:r>
            <w:r>
              <w:rPr>
                <w:rFonts w:ascii="Verdana" w:hAnsi="Verdana" w:cs="Arial"/>
              </w:rPr>
              <w:t xml:space="preserve"> an Assured tenancy with a Housing Association</w:t>
            </w:r>
            <w:r w:rsidR="00BA79BE">
              <w:rPr>
                <w:rFonts w:ascii="Verdana" w:hAnsi="Verdana" w:cs="Arial"/>
              </w:rPr>
              <w:t xml:space="preserve"> are eligible to apply for a mutual exchange, subject to their </w:t>
            </w:r>
            <w:r w:rsidR="00835036">
              <w:rPr>
                <w:rFonts w:ascii="Verdana" w:hAnsi="Verdana" w:cs="Arial"/>
              </w:rPr>
              <w:t>landlord’s</w:t>
            </w:r>
            <w:r w:rsidR="00BA79BE">
              <w:rPr>
                <w:rFonts w:ascii="Verdana" w:hAnsi="Verdana" w:cs="Arial"/>
              </w:rPr>
              <w:t xml:space="preserve"> consent. Please refer to the relevant Housing Association/landlord f</w:t>
            </w:r>
            <w:r w:rsidR="00F60927">
              <w:rPr>
                <w:rFonts w:ascii="Verdana" w:hAnsi="Verdana" w:cs="Arial"/>
              </w:rPr>
              <w:t>or further guidance.</w:t>
            </w:r>
          </w:p>
          <w:p w14:paraId="7407E8D1" w14:textId="4836D1CC" w:rsidR="00BA79BE" w:rsidRDefault="00BA79BE" w:rsidP="00F22445">
            <w:pPr>
              <w:rPr>
                <w:rFonts w:ascii="Verdana" w:hAnsi="Verdana" w:cs="Arial"/>
              </w:rPr>
            </w:pPr>
          </w:p>
        </w:tc>
      </w:tr>
      <w:tr w:rsidR="00486B86" w14:paraId="210BE80F" w14:textId="77777777" w:rsidTr="005D0574">
        <w:tc>
          <w:tcPr>
            <w:tcW w:w="796" w:type="dxa"/>
          </w:tcPr>
          <w:p w14:paraId="162AB9D7" w14:textId="42C8AC04" w:rsidR="00486B86" w:rsidRPr="003A37B6" w:rsidRDefault="00486B86" w:rsidP="00161564">
            <w:pPr>
              <w:rPr>
                <w:rFonts w:ascii="Verdana" w:hAnsi="Verdana" w:cs="Arial"/>
              </w:rPr>
            </w:pPr>
            <w:r>
              <w:rPr>
                <w:rFonts w:ascii="Verdana" w:hAnsi="Verdana" w:cs="Arial"/>
              </w:rPr>
              <w:t>5.</w:t>
            </w:r>
            <w:r w:rsidR="00DD1311">
              <w:rPr>
                <w:rFonts w:ascii="Verdana" w:hAnsi="Verdana" w:cs="Arial"/>
              </w:rPr>
              <w:t>3</w:t>
            </w:r>
            <w:r>
              <w:rPr>
                <w:rFonts w:ascii="Verdana" w:hAnsi="Verdana" w:cs="Arial"/>
              </w:rPr>
              <w:t>.</w:t>
            </w:r>
          </w:p>
        </w:tc>
        <w:tc>
          <w:tcPr>
            <w:tcW w:w="8554" w:type="dxa"/>
          </w:tcPr>
          <w:p w14:paraId="2FE67DF1" w14:textId="720AB0DD" w:rsidR="00486B86" w:rsidRDefault="003C7C50" w:rsidP="00F22445">
            <w:pPr>
              <w:rPr>
                <w:rFonts w:ascii="Verdana" w:hAnsi="Verdana" w:cs="Arial"/>
              </w:rPr>
            </w:pPr>
            <w:r>
              <w:rPr>
                <w:rFonts w:ascii="Verdana" w:hAnsi="Verdana" w:cs="Arial"/>
              </w:rPr>
              <w:t xml:space="preserve">Tenants that hold an </w:t>
            </w:r>
            <w:r w:rsidR="00A66A50">
              <w:rPr>
                <w:rFonts w:ascii="Verdana" w:hAnsi="Verdana" w:cs="Arial"/>
              </w:rPr>
              <w:t>I</w:t>
            </w:r>
            <w:r>
              <w:rPr>
                <w:rFonts w:ascii="Verdana" w:hAnsi="Verdana" w:cs="Arial"/>
              </w:rPr>
              <w:t xml:space="preserve">ntroductory (including extended introductory/starter tenancy), </w:t>
            </w:r>
            <w:r w:rsidR="006D431D">
              <w:rPr>
                <w:rFonts w:ascii="Verdana" w:hAnsi="Verdana" w:cs="Arial"/>
              </w:rPr>
              <w:t>Demoted</w:t>
            </w:r>
            <w:r w:rsidR="00987FF4">
              <w:rPr>
                <w:rFonts w:ascii="Verdana" w:hAnsi="Verdana" w:cs="Arial"/>
              </w:rPr>
              <w:t xml:space="preserve">, Licences, and Leaseholders are </w:t>
            </w:r>
            <w:r w:rsidR="00987FF4" w:rsidRPr="006D431D">
              <w:rPr>
                <w:rFonts w:ascii="Verdana" w:hAnsi="Verdana" w:cs="Arial"/>
                <w:i/>
                <w:iCs/>
              </w:rPr>
              <w:t xml:space="preserve">not </w:t>
            </w:r>
            <w:r w:rsidR="00987FF4">
              <w:rPr>
                <w:rFonts w:ascii="Verdana" w:hAnsi="Verdana" w:cs="Arial"/>
              </w:rPr>
              <w:t>eligibl</w:t>
            </w:r>
            <w:r w:rsidR="002B4FCD">
              <w:rPr>
                <w:rFonts w:ascii="Verdana" w:hAnsi="Verdana" w:cs="Arial"/>
              </w:rPr>
              <w:t xml:space="preserve">e to </w:t>
            </w:r>
            <w:r w:rsidR="006D431D">
              <w:rPr>
                <w:rFonts w:ascii="Verdana" w:hAnsi="Verdana" w:cs="Arial"/>
              </w:rPr>
              <w:t>apply for a mutual exchange.</w:t>
            </w:r>
          </w:p>
          <w:p w14:paraId="002831D2" w14:textId="3C1BAC12" w:rsidR="002B4FCD" w:rsidRDefault="002B4FCD" w:rsidP="00F22445">
            <w:pPr>
              <w:rPr>
                <w:rFonts w:ascii="Verdana" w:hAnsi="Verdana" w:cs="Arial"/>
              </w:rPr>
            </w:pPr>
          </w:p>
        </w:tc>
      </w:tr>
      <w:tr w:rsidR="00486B86" w14:paraId="0183F121" w14:textId="77777777" w:rsidTr="005D0574">
        <w:tc>
          <w:tcPr>
            <w:tcW w:w="796" w:type="dxa"/>
          </w:tcPr>
          <w:p w14:paraId="31FC4162" w14:textId="75E8464B" w:rsidR="00486B86" w:rsidRPr="003A37B6" w:rsidRDefault="00486B86" w:rsidP="00161564">
            <w:pPr>
              <w:rPr>
                <w:rFonts w:ascii="Verdana" w:hAnsi="Verdana" w:cs="Arial"/>
              </w:rPr>
            </w:pPr>
            <w:r>
              <w:rPr>
                <w:rFonts w:ascii="Verdana" w:hAnsi="Verdana" w:cs="Arial"/>
              </w:rPr>
              <w:t>5.</w:t>
            </w:r>
            <w:r w:rsidR="00D443B1">
              <w:rPr>
                <w:rFonts w:ascii="Verdana" w:hAnsi="Verdana" w:cs="Arial"/>
              </w:rPr>
              <w:t>4</w:t>
            </w:r>
            <w:r>
              <w:rPr>
                <w:rFonts w:ascii="Verdana" w:hAnsi="Verdana" w:cs="Arial"/>
              </w:rPr>
              <w:t>.</w:t>
            </w:r>
          </w:p>
        </w:tc>
        <w:tc>
          <w:tcPr>
            <w:tcW w:w="8554" w:type="dxa"/>
          </w:tcPr>
          <w:p w14:paraId="486C6B92" w14:textId="77777777" w:rsidR="00486B86" w:rsidRDefault="00D76753" w:rsidP="00F22445">
            <w:pPr>
              <w:rPr>
                <w:rFonts w:ascii="Verdana" w:hAnsi="Verdana" w:cs="Arial"/>
              </w:rPr>
            </w:pPr>
            <w:r>
              <w:rPr>
                <w:rFonts w:ascii="Verdana" w:hAnsi="Verdana" w:cs="Arial"/>
              </w:rPr>
              <w:t>Where applications are made under a joint tenancy, both tenants must consent to the mutual exchange.</w:t>
            </w:r>
          </w:p>
          <w:p w14:paraId="35651283" w14:textId="297CCFEC" w:rsidR="00D76753" w:rsidRDefault="00D76753" w:rsidP="00F22445">
            <w:pPr>
              <w:rPr>
                <w:rFonts w:ascii="Verdana" w:hAnsi="Verdana" w:cs="Arial"/>
              </w:rPr>
            </w:pPr>
          </w:p>
        </w:tc>
      </w:tr>
      <w:tr w:rsidR="00486B86" w14:paraId="1B2FF936" w14:textId="77777777" w:rsidTr="005D0574">
        <w:tc>
          <w:tcPr>
            <w:tcW w:w="796" w:type="dxa"/>
          </w:tcPr>
          <w:p w14:paraId="25E06B44" w14:textId="532A01FE" w:rsidR="00486B86" w:rsidRPr="003A37B6" w:rsidRDefault="00486B86" w:rsidP="00161564">
            <w:pPr>
              <w:rPr>
                <w:rFonts w:ascii="Verdana" w:hAnsi="Verdana" w:cs="Arial"/>
              </w:rPr>
            </w:pPr>
            <w:r>
              <w:rPr>
                <w:rFonts w:ascii="Verdana" w:hAnsi="Verdana" w:cs="Arial"/>
              </w:rPr>
              <w:t>5.</w:t>
            </w:r>
            <w:r w:rsidR="00D443B1">
              <w:rPr>
                <w:rFonts w:ascii="Verdana" w:hAnsi="Verdana" w:cs="Arial"/>
              </w:rPr>
              <w:t>5</w:t>
            </w:r>
            <w:r>
              <w:rPr>
                <w:rFonts w:ascii="Verdana" w:hAnsi="Verdana" w:cs="Arial"/>
              </w:rPr>
              <w:t>.</w:t>
            </w:r>
          </w:p>
        </w:tc>
        <w:tc>
          <w:tcPr>
            <w:tcW w:w="8554" w:type="dxa"/>
          </w:tcPr>
          <w:p w14:paraId="0FA4219F" w14:textId="77777777" w:rsidR="00E26739" w:rsidRDefault="004C07F9" w:rsidP="00B26C3B">
            <w:pPr>
              <w:rPr>
                <w:rFonts w:ascii="Verdana" w:hAnsi="Verdana" w:cs="Arial"/>
              </w:rPr>
            </w:pPr>
            <w:r>
              <w:rPr>
                <w:rFonts w:ascii="Verdana" w:hAnsi="Verdana" w:cs="Arial"/>
              </w:rPr>
              <w:t>Both, t</w:t>
            </w:r>
            <w:r w:rsidR="00D76753">
              <w:rPr>
                <w:rFonts w:ascii="Verdana" w:hAnsi="Verdana" w:cs="Arial"/>
              </w:rPr>
              <w:t>he in-coming and out-going tenants must meet the eligibility criteria.</w:t>
            </w:r>
          </w:p>
          <w:p w14:paraId="2D7FCEDE" w14:textId="664C5DFD" w:rsidR="00C32CF7" w:rsidRDefault="00C32CF7" w:rsidP="00B26C3B">
            <w:pPr>
              <w:rPr>
                <w:rFonts w:ascii="Verdana" w:hAnsi="Verdana" w:cs="Arial"/>
              </w:rPr>
            </w:pPr>
          </w:p>
        </w:tc>
      </w:tr>
      <w:tr w:rsidR="00035508" w14:paraId="563F20E7" w14:textId="77777777" w:rsidTr="005D0574">
        <w:tc>
          <w:tcPr>
            <w:tcW w:w="796" w:type="dxa"/>
          </w:tcPr>
          <w:p w14:paraId="14608823" w14:textId="6D55D073" w:rsidR="00035508" w:rsidRPr="00F17C58" w:rsidRDefault="00626083" w:rsidP="00161564">
            <w:pPr>
              <w:rPr>
                <w:rFonts w:ascii="Verdana" w:hAnsi="Verdana" w:cs="Arial"/>
                <w:b/>
                <w:bCs/>
              </w:rPr>
            </w:pPr>
            <w:r>
              <w:rPr>
                <w:rFonts w:ascii="Verdana" w:hAnsi="Verdana" w:cs="Arial"/>
                <w:b/>
                <w:bCs/>
                <w:color w:val="385623" w:themeColor="accent6" w:themeShade="80"/>
                <w:sz w:val="24"/>
                <w:szCs w:val="24"/>
              </w:rPr>
              <w:t>6</w:t>
            </w:r>
            <w:r w:rsidR="00F17C58" w:rsidRPr="00F17C58">
              <w:rPr>
                <w:rFonts w:ascii="Verdana" w:hAnsi="Verdana" w:cs="Arial"/>
                <w:b/>
                <w:bCs/>
                <w:color w:val="385623" w:themeColor="accent6" w:themeShade="80"/>
                <w:sz w:val="24"/>
                <w:szCs w:val="24"/>
              </w:rPr>
              <w:t>.</w:t>
            </w:r>
          </w:p>
        </w:tc>
        <w:tc>
          <w:tcPr>
            <w:tcW w:w="8554" w:type="dxa"/>
          </w:tcPr>
          <w:p w14:paraId="5653570B" w14:textId="6E2CF66B" w:rsidR="00035508" w:rsidRPr="00F17C58" w:rsidRDefault="00585D61" w:rsidP="00161564">
            <w:pPr>
              <w:rPr>
                <w:rFonts w:ascii="Verdana" w:hAnsi="Verdana" w:cs="Arial"/>
                <w:b/>
                <w:bCs/>
              </w:rPr>
            </w:pPr>
            <w:r>
              <w:rPr>
                <w:rFonts w:ascii="Verdana" w:hAnsi="Verdana" w:cs="Arial"/>
                <w:b/>
                <w:bCs/>
                <w:color w:val="385623" w:themeColor="accent6" w:themeShade="80"/>
                <w:sz w:val="24"/>
                <w:szCs w:val="24"/>
              </w:rPr>
              <w:t>Searching</w:t>
            </w:r>
            <w:r w:rsidR="00F17C58" w:rsidRPr="00F17C58">
              <w:rPr>
                <w:rFonts w:ascii="Verdana" w:hAnsi="Verdana" w:cs="Arial"/>
                <w:b/>
                <w:bCs/>
                <w:color w:val="385623" w:themeColor="accent6" w:themeShade="80"/>
                <w:sz w:val="24"/>
                <w:szCs w:val="24"/>
              </w:rPr>
              <w:t xml:space="preserve"> for a Mutual Exchange</w:t>
            </w:r>
          </w:p>
        </w:tc>
      </w:tr>
      <w:tr w:rsidR="00F17C58" w14:paraId="5DF0DBD1" w14:textId="77777777" w:rsidTr="005D0574">
        <w:tc>
          <w:tcPr>
            <w:tcW w:w="796" w:type="dxa"/>
          </w:tcPr>
          <w:p w14:paraId="532E6948" w14:textId="54BACFB0" w:rsidR="00F17C58" w:rsidRDefault="00626083" w:rsidP="00161564">
            <w:pPr>
              <w:rPr>
                <w:rFonts w:ascii="Verdana" w:hAnsi="Verdana" w:cs="Arial"/>
              </w:rPr>
            </w:pPr>
            <w:r>
              <w:rPr>
                <w:rFonts w:ascii="Verdana" w:hAnsi="Verdana" w:cs="Arial"/>
              </w:rPr>
              <w:t>6</w:t>
            </w:r>
            <w:r w:rsidR="00F17C58">
              <w:rPr>
                <w:rFonts w:ascii="Verdana" w:hAnsi="Verdana" w:cs="Arial"/>
              </w:rPr>
              <w:t>.1.</w:t>
            </w:r>
          </w:p>
        </w:tc>
        <w:tc>
          <w:tcPr>
            <w:tcW w:w="8554" w:type="dxa"/>
          </w:tcPr>
          <w:p w14:paraId="0BEC2718" w14:textId="7EF62182" w:rsidR="006E6BFC" w:rsidRDefault="00AA0448" w:rsidP="00F17C58">
            <w:pPr>
              <w:rPr>
                <w:rFonts w:ascii="Verdana" w:hAnsi="Verdana" w:cs="Arial"/>
              </w:rPr>
            </w:pPr>
            <w:r>
              <w:rPr>
                <w:rFonts w:ascii="Verdana" w:hAnsi="Verdana" w:cs="Arial"/>
              </w:rPr>
              <w:t>T</w:t>
            </w:r>
            <w:r w:rsidR="00F17C58">
              <w:rPr>
                <w:rFonts w:ascii="Verdana" w:hAnsi="Verdana" w:cs="Arial"/>
              </w:rPr>
              <w:t>he Council subscribes to ‘</w:t>
            </w:r>
            <w:proofErr w:type="spellStart"/>
            <w:r w:rsidR="00F17C58">
              <w:rPr>
                <w:rFonts w:ascii="Verdana" w:hAnsi="Verdana" w:cs="Arial"/>
              </w:rPr>
              <w:t>HomeSwapper</w:t>
            </w:r>
            <w:proofErr w:type="spellEnd"/>
            <w:r w:rsidR="00F17C58">
              <w:rPr>
                <w:rFonts w:ascii="Verdana" w:hAnsi="Verdana" w:cs="Arial"/>
              </w:rPr>
              <w:t>’</w:t>
            </w:r>
            <w:r w:rsidR="00E26739">
              <w:rPr>
                <w:rFonts w:ascii="Verdana" w:hAnsi="Verdana" w:cs="Arial"/>
              </w:rPr>
              <w:t xml:space="preserve"> </w:t>
            </w:r>
            <w:hyperlink r:id="rId12" w:history="1">
              <w:r w:rsidR="00E26739" w:rsidRPr="00A96F69">
                <w:rPr>
                  <w:rStyle w:val="Hyperlink"/>
                  <w:rFonts w:ascii="Verdana" w:hAnsi="Verdana" w:cs="Arial"/>
                </w:rPr>
                <w:t>www.homeswapper.co.uk</w:t>
              </w:r>
            </w:hyperlink>
            <w:r w:rsidR="00E26739">
              <w:rPr>
                <w:rFonts w:ascii="Verdana" w:hAnsi="Verdana" w:cs="Arial"/>
              </w:rPr>
              <w:t>. T</w:t>
            </w:r>
            <w:r w:rsidR="00F17C58">
              <w:rPr>
                <w:rFonts w:ascii="Verdana" w:hAnsi="Verdana" w:cs="Arial"/>
              </w:rPr>
              <w:t>his service allows tenants to access, free of charge, a national register of tenants looking to mutual exchange. From this register tenants will potentially be able to identify matches in their area of choice.</w:t>
            </w:r>
          </w:p>
          <w:p w14:paraId="3689C254" w14:textId="77777777" w:rsidR="00CE555C" w:rsidRPr="00E26739" w:rsidRDefault="00CE555C" w:rsidP="00585D61">
            <w:pPr>
              <w:rPr>
                <w:rFonts w:ascii="Verdana" w:hAnsi="Verdana" w:cs="Arial"/>
                <w:u w:val="single"/>
              </w:rPr>
            </w:pPr>
          </w:p>
        </w:tc>
      </w:tr>
      <w:tr w:rsidR="00585D61" w14:paraId="4D342D52" w14:textId="77777777" w:rsidTr="005D0574">
        <w:tc>
          <w:tcPr>
            <w:tcW w:w="796" w:type="dxa"/>
          </w:tcPr>
          <w:p w14:paraId="4D933DC1" w14:textId="02716956" w:rsidR="00585D61" w:rsidRDefault="00626083" w:rsidP="00161564">
            <w:pPr>
              <w:rPr>
                <w:rFonts w:ascii="Verdana" w:hAnsi="Verdana" w:cs="Arial"/>
              </w:rPr>
            </w:pPr>
            <w:r>
              <w:rPr>
                <w:rFonts w:ascii="Verdana" w:hAnsi="Verdana" w:cs="Arial"/>
              </w:rPr>
              <w:t>6.2.</w:t>
            </w:r>
          </w:p>
        </w:tc>
        <w:tc>
          <w:tcPr>
            <w:tcW w:w="8554" w:type="dxa"/>
          </w:tcPr>
          <w:p w14:paraId="3943164F" w14:textId="77777777" w:rsidR="00585D61" w:rsidRDefault="00585D61" w:rsidP="00F17C58">
            <w:pPr>
              <w:rPr>
                <w:rFonts w:ascii="Verdana" w:hAnsi="Verdana" w:cs="Arial"/>
              </w:rPr>
            </w:pPr>
            <w:r>
              <w:rPr>
                <w:rFonts w:ascii="Verdana" w:hAnsi="Verdana" w:cs="Arial"/>
              </w:rPr>
              <w:t xml:space="preserve">The Council operates a dedicated webpage for mutual exchanges </w:t>
            </w:r>
            <w:hyperlink r:id="rId13" w:history="1">
              <w:r w:rsidRPr="00A96F69">
                <w:rPr>
                  <w:rStyle w:val="Hyperlink"/>
                  <w:rFonts w:ascii="Verdana" w:hAnsi="Verdana" w:cs="Arial"/>
                </w:rPr>
                <w:t>www.nuneatonandbedworth.gov.uk/mutual-exchanges</w:t>
              </w:r>
            </w:hyperlink>
            <w:r>
              <w:rPr>
                <w:rFonts w:ascii="Verdana" w:hAnsi="Verdana" w:cs="Arial"/>
              </w:rPr>
              <w:t xml:space="preserve">. This page publishes guidance on eligibility, legal implications, advisory leaflet, an information guide and the procedure for applying and completing a Mutual Exchange. </w:t>
            </w:r>
            <w:r w:rsidR="00BB4910">
              <w:rPr>
                <w:rFonts w:ascii="Verdana" w:hAnsi="Verdana" w:cs="Arial"/>
              </w:rPr>
              <w:t>We encourage tenants to review this information before searching and applying for a mutual exchange.</w:t>
            </w:r>
          </w:p>
          <w:p w14:paraId="24B4F553" w14:textId="317E6B0B" w:rsidR="00626083" w:rsidRDefault="00626083" w:rsidP="00F17C58">
            <w:pPr>
              <w:rPr>
                <w:rFonts w:ascii="Verdana" w:hAnsi="Verdana" w:cs="Arial"/>
              </w:rPr>
            </w:pPr>
          </w:p>
        </w:tc>
      </w:tr>
      <w:tr w:rsidR="00585D61" w14:paraId="631F38B1" w14:textId="77777777" w:rsidTr="005D0574">
        <w:tc>
          <w:tcPr>
            <w:tcW w:w="796" w:type="dxa"/>
          </w:tcPr>
          <w:p w14:paraId="364C6B34" w14:textId="383EBEC4" w:rsidR="00585D61" w:rsidRDefault="00626083" w:rsidP="00161564">
            <w:pPr>
              <w:rPr>
                <w:rFonts w:ascii="Verdana" w:hAnsi="Verdana" w:cs="Arial"/>
              </w:rPr>
            </w:pPr>
            <w:r>
              <w:rPr>
                <w:rFonts w:ascii="Verdana" w:hAnsi="Verdana" w:cs="Arial"/>
              </w:rPr>
              <w:t>6.3.</w:t>
            </w:r>
          </w:p>
        </w:tc>
        <w:tc>
          <w:tcPr>
            <w:tcW w:w="8554" w:type="dxa"/>
          </w:tcPr>
          <w:p w14:paraId="7C5A1FA5" w14:textId="77777777" w:rsidR="00585D61" w:rsidRDefault="00BB4910" w:rsidP="00F17C58">
            <w:pPr>
              <w:rPr>
                <w:rFonts w:ascii="Verdana" w:hAnsi="Verdana" w:cs="Arial"/>
              </w:rPr>
            </w:pPr>
            <w:r>
              <w:rPr>
                <w:rFonts w:ascii="Verdana" w:hAnsi="Verdana" w:cs="Arial"/>
              </w:rPr>
              <w:t>It is the responsibility of tenants to search for and apply for a mutual exchange.</w:t>
            </w:r>
          </w:p>
          <w:p w14:paraId="2CB97DE3" w14:textId="1FD148B1" w:rsidR="00626083" w:rsidRDefault="00626083" w:rsidP="00F17C58">
            <w:pPr>
              <w:rPr>
                <w:rFonts w:ascii="Verdana" w:hAnsi="Verdana" w:cs="Arial"/>
              </w:rPr>
            </w:pPr>
          </w:p>
        </w:tc>
      </w:tr>
      <w:tr w:rsidR="00E26739" w14:paraId="3AE26017" w14:textId="77777777" w:rsidTr="005D0574">
        <w:tc>
          <w:tcPr>
            <w:tcW w:w="796" w:type="dxa"/>
          </w:tcPr>
          <w:p w14:paraId="3B511523" w14:textId="77777777" w:rsidR="00E26739" w:rsidRDefault="00E26739" w:rsidP="00161564">
            <w:pPr>
              <w:rPr>
                <w:rFonts w:ascii="Verdana" w:hAnsi="Verdana" w:cs="Arial"/>
              </w:rPr>
            </w:pPr>
          </w:p>
        </w:tc>
        <w:tc>
          <w:tcPr>
            <w:tcW w:w="8554" w:type="dxa"/>
          </w:tcPr>
          <w:p w14:paraId="30A4BC8E" w14:textId="28126F4E" w:rsidR="00E26739" w:rsidRPr="00E26739" w:rsidRDefault="00E26739" w:rsidP="00F17C58">
            <w:pPr>
              <w:rPr>
                <w:rFonts w:ascii="Verdana" w:hAnsi="Verdana" w:cs="Arial"/>
                <w:b/>
                <w:bCs/>
              </w:rPr>
            </w:pPr>
            <w:r w:rsidRPr="00E26739">
              <w:rPr>
                <w:rFonts w:ascii="Verdana" w:hAnsi="Verdana" w:cs="Arial"/>
                <w:b/>
                <w:bCs/>
              </w:rPr>
              <w:t xml:space="preserve">Implications </w:t>
            </w:r>
            <w:r w:rsidR="00BB4910">
              <w:rPr>
                <w:rFonts w:ascii="Verdana" w:hAnsi="Verdana" w:cs="Arial"/>
                <w:b/>
                <w:bCs/>
              </w:rPr>
              <w:t>for</w:t>
            </w:r>
            <w:r w:rsidRPr="00E26739">
              <w:rPr>
                <w:rFonts w:ascii="Verdana" w:hAnsi="Verdana" w:cs="Arial"/>
                <w:b/>
                <w:bCs/>
              </w:rPr>
              <w:t xml:space="preserve"> a Mutual Exchange</w:t>
            </w:r>
          </w:p>
        </w:tc>
      </w:tr>
      <w:tr w:rsidR="00E26739" w14:paraId="222ABBDE" w14:textId="77777777" w:rsidTr="005D0574">
        <w:tc>
          <w:tcPr>
            <w:tcW w:w="796" w:type="dxa"/>
          </w:tcPr>
          <w:p w14:paraId="7D3F02C5" w14:textId="640F9443" w:rsidR="00E26739" w:rsidRDefault="00626083" w:rsidP="00161564">
            <w:pPr>
              <w:rPr>
                <w:rFonts w:ascii="Verdana" w:hAnsi="Verdana" w:cs="Arial"/>
              </w:rPr>
            </w:pPr>
            <w:r>
              <w:rPr>
                <w:rFonts w:ascii="Verdana" w:hAnsi="Verdana" w:cs="Arial"/>
              </w:rPr>
              <w:t>6.4.</w:t>
            </w:r>
          </w:p>
        </w:tc>
        <w:tc>
          <w:tcPr>
            <w:tcW w:w="8554" w:type="dxa"/>
          </w:tcPr>
          <w:p w14:paraId="5C75F8CE" w14:textId="77777777" w:rsidR="00E26739" w:rsidRDefault="00E26739" w:rsidP="00E26739">
            <w:pPr>
              <w:rPr>
                <w:rFonts w:ascii="Verdana" w:hAnsi="Verdana" w:cs="Arial"/>
              </w:rPr>
            </w:pPr>
            <w:r>
              <w:rPr>
                <w:rFonts w:ascii="Verdana" w:hAnsi="Verdana" w:cs="Arial"/>
              </w:rPr>
              <w:t xml:space="preserve">The original rights granted in the tenancy agreements can be lost during mutual exchange, for example – there may be different rules regarding </w:t>
            </w:r>
            <w:r>
              <w:rPr>
                <w:rFonts w:ascii="Verdana" w:hAnsi="Verdana" w:cs="Arial"/>
              </w:rPr>
              <w:lastRenderedPageBreak/>
              <w:t xml:space="preserve">succession rights; rent levels and assignment. All tenants are advised to read their tenancy agreements thoroughly and take their own legal advice from a Solicitor or Specialist before agreeing to an exchange. </w:t>
            </w:r>
          </w:p>
          <w:p w14:paraId="34D6E9C7" w14:textId="77777777" w:rsidR="00E26739" w:rsidRDefault="00E26739" w:rsidP="00E26739">
            <w:pPr>
              <w:rPr>
                <w:rFonts w:ascii="Verdana" w:hAnsi="Verdana" w:cs="Arial"/>
              </w:rPr>
            </w:pPr>
          </w:p>
          <w:p w14:paraId="33D34332" w14:textId="77777777" w:rsidR="00E26739" w:rsidRDefault="00E26739" w:rsidP="00E26739">
            <w:pPr>
              <w:rPr>
                <w:rFonts w:ascii="Verdana" w:hAnsi="Verdana" w:cs="Arial"/>
              </w:rPr>
            </w:pPr>
            <w:r>
              <w:rPr>
                <w:rFonts w:ascii="Verdana" w:hAnsi="Verdana" w:cs="Arial"/>
              </w:rPr>
              <w:t xml:space="preserve">The right to succession is personal to the individual tenant and this right transfers with the tenant when they move in a mutual exchange. For example – a tenant who is a successor under the original tenancy remains a successor following the mutual exchange, under their ‘new’ tenancy. </w:t>
            </w:r>
          </w:p>
          <w:p w14:paraId="4AC5AF14" w14:textId="77777777" w:rsidR="00E26739" w:rsidRDefault="00E26739" w:rsidP="00E26739">
            <w:pPr>
              <w:rPr>
                <w:rFonts w:ascii="Verdana" w:hAnsi="Verdana" w:cs="Arial"/>
              </w:rPr>
            </w:pPr>
          </w:p>
          <w:p w14:paraId="1CDA6AE9" w14:textId="77777777" w:rsidR="00E26739" w:rsidRDefault="00E26739" w:rsidP="00E26739">
            <w:pPr>
              <w:rPr>
                <w:rFonts w:ascii="Verdana" w:hAnsi="Verdana" w:cs="Arial"/>
              </w:rPr>
            </w:pPr>
            <w:r>
              <w:rPr>
                <w:rFonts w:ascii="Verdana" w:hAnsi="Verdana" w:cs="Arial"/>
              </w:rPr>
              <w:t>We will ensure that tenants who decide to make an application for a mutual exchange are aware of any implications to their tenancy, including:</w:t>
            </w:r>
          </w:p>
          <w:p w14:paraId="02441B8E" w14:textId="77777777" w:rsidR="00E26739" w:rsidRDefault="00E26739" w:rsidP="00E26739">
            <w:pPr>
              <w:rPr>
                <w:rFonts w:ascii="Verdana" w:hAnsi="Verdana" w:cs="Arial"/>
              </w:rPr>
            </w:pPr>
          </w:p>
          <w:p w14:paraId="09E1BED3" w14:textId="77777777" w:rsidR="00E26739" w:rsidRDefault="00E26739" w:rsidP="00E26739">
            <w:pPr>
              <w:pStyle w:val="ListParagraph"/>
              <w:numPr>
                <w:ilvl w:val="0"/>
                <w:numId w:val="8"/>
              </w:numPr>
              <w:rPr>
                <w:rFonts w:ascii="Verdana" w:hAnsi="Verdana" w:cs="Arial"/>
              </w:rPr>
            </w:pPr>
            <w:r>
              <w:rPr>
                <w:rFonts w:ascii="Verdana" w:hAnsi="Verdana" w:cs="Arial"/>
              </w:rPr>
              <w:t>Any changes to their secure/assured status.</w:t>
            </w:r>
          </w:p>
          <w:p w14:paraId="34626CE3" w14:textId="77777777" w:rsidR="00E26739" w:rsidRDefault="00E26739" w:rsidP="00E26739">
            <w:pPr>
              <w:pStyle w:val="ListParagraph"/>
              <w:numPr>
                <w:ilvl w:val="0"/>
                <w:numId w:val="8"/>
              </w:numPr>
              <w:rPr>
                <w:rFonts w:ascii="Verdana" w:hAnsi="Verdana" w:cs="Arial"/>
              </w:rPr>
            </w:pPr>
            <w:r>
              <w:rPr>
                <w:rFonts w:ascii="Verdana" w:hAnsi="Verdana" w:cs="Arial"/>
              </w:rPr>
              <w:t>Any difference in rules regarding succession.</w:t>
            </w:r>
          </w:p>
          <w:p w14:paraId="3EF80ED5" w14:textId="77777777" w:rsidR="00E26739" w:rsidRDefault="00E26739" w:rsidP="00E26739">
            <w:pPr>
              <w:pStyle w:val="ListParagraph"/>
              <w:numPr>
                <w:ilvl w:val="0"/>
                <w:numId w:val="8"/>
              </w:numPr>
              <w:rPr>
                <w:rFonts w:ascii="Verdana" w:hAnsi="Verdana" w:cs="Arial"/>
              </w:rPr>
            </w:pPr>
            <w:r>
              <w:rPr>
                <w:rFonts w:ascii="Verdana" w:hAnsi="Verdana" w:cs="Arial"/>
              </w:rPr>
              <w:t>Any change in rent level between Social Rent and Affordable Rent; and</w:t>
            </w:r>
          </w:p>
          <w:p w14:paraId="4D5DCBD2" w14:textId="77777777" w:rsidR="00E26739" w:rsidRPr="00A261AA" w:rsidRDefault="00E26739" w:rsidP="00E26739">
            <w:pPr>
              <w:pStyle w:val="ListParagraph"/>
              <w:numPr>
                <w:ilvl w:val="0"/>
                <w:numId w:val="8"/>
              </w:numPr>
              <w:rPr>
                <w:rFonts w:ascii="Verdana" w:hAnsi="Verdana" w:cs="Arial"/>
              </w:rPr>
            </w:pPr>
            <w:r>
              <w:rPr>
                <w:rFonts w:ascii="Verdana" w:hAnsi="Verdana" w:cs="Arial"/>
              </w:rPr>
              <w:t>Any gain or loss of Right to Buy.</w:t>
            </w:r>
          </w:p>
          <w:p w14:paraId="755A3EDE" w14:textId="77777777" w:rsidR="00E26739" w:rsidRDefault="00E26739" w:rsidP="00F17C58">
            <w:pPr>
              <w:rPr>
                <w:rFonts w:ascii="Verdana" w:hAnsi="Verdana" w:cs="Arial"/>
              </w:rPr>
            </w:pPr>
          </w:p>
        </w:tc>
      </w:tr>
      <w:tr w:rsidR="00F17C58" w14:paraId="30486E31" w14:textId="77777777" w:rsidTr="005D0574">
        <w:tc>
          <w:tcPr>
            <w:tcW w:w="796" w:type="dxa"/>
          </w:tcPr>
          <w:p w14:paraId="4B0ACA21" w14:textId="40059870" w:rsidR="00F17C58" w:rsidRDefault="00626083" w:rsidP="00161564">
            <w:pPr>
              <w:rPr>
                <w:rFonts w:ascii="Verdana" w:hAnsi="Verdana" w:cs="Arial"/>
              </w:rPr>
            </w:pPr>
            <w:r>
              <w:rPr>
                <w:rFonts w:ascii="Verdana" w:hAnsi="Verdana" w:cs="Arial"/>
              </w:rPr>
              <w:lastRenderedPageBreak/>
              <w:t>6.5.</w:t>
            </w:r>
          </w:p>
        </w:tc>
        <w:tc>
          <w:tcPr>
            <w:tcW w:w="8554" w:type="dxa"/>
          </w:tcPr>
          <w:p w14:paraId="39635AC8" w14:textId="7EBC81B1" w:rsidR="00931059" w:rsidRDefault="006116F2" w:rsidP="00161564">
            <w:pPr>
              <w:rPr>
                <w:rFonts w:ascii="Verdana" w:hAnsi="Verdana" w:cs="Arial"/>
              </w:rPr>
            </w:pPr>
            <w:r>
              <w:rPr>
                <w:rFonts w:ascii="Verdana" w:hAnsi="Verdana" w:cs="Arial"/>
              </w:rPr>
              <w:t>T</w:t>
            </w:r>
            <w:r w:rsidR="0041034A">
              <w:rPr>
                <w:rFonts w:ascii="Verdana" w:hAnsi="Verdana" w:cs="Arial"/>
              </w:rPr>
              <w:t xml:space="preserve">he tenants wishing to complete a mutual exchange must identify </w:t>
            </w:r>
            <w:r w:rsidR="00BA39FA">
              <w:rPr>
                <w:rFonts w:ascii="Verdana" w:hAnsi="Verdana" w:cs="Arial"/>
              </w:rPr>
              <w:t xml:space="preserve">another tenant who they wish to exchange with. Both tenants must meet the eligibility criteria and agree to the exchange. </w:t>
            </w:r>
          </w:p>
          <w:p w14:paraId="7F581C4B" w14:textId="77777777" w:rsidR="00BA39FA" w:rsidRDefault="00BA39FA" w:rsidP="00161564">
            <w:pPr>
              <w:rPr>
                <w:rFonts w:ascii="Verdana" w:hAnsi="Verdana" w:cs="Arial"/>
              </w:rPr>
            </w:pPr>
          </w:p>
          <w:p w14:paraId="76E5C8C4" w14:textId="4C35FE3B" w:rsidR="00BA39FA" w:rsidRDefault="00BA39FA" w:rsidP="00161564">
            <w:pPr>
              <w:rPr>
                <w:rFonts w:ascii="Verdana" w:hAnsi="Verdana" w:cs="Arial"/>
              </w:rPr>
            </w:pPr>
            <w:r>
              <w:rPr>
                <w:rFonts w:ascii="Verdana" w:hAnsi="Verdana" w:cs="Arial"/>
              </w:rPr>
              <w:t xml:space="preserve">The tenants are responsible for viewing the property they are considering for exchange. This is a crucial step because when tenants exchange, they are agreeing to take the property on its present condition, which may mean taking responsibility for alterations that the out-going tenant has completed. </w:t>
            </w:r>
          </w:p>
          <w:p w14:paraId="401F9864" w14:textId="77777777" w:rsidR="000E33FD" w:rsidRDefault="000E33FD" w:rsidP="00161564">
            <w:pPr>
              <w:rPr>
                <w:rFonts w:ascii="Verdana" w:hAnsi="Verdana" w:cs="Arial"/>
              </w:rPr>
            </w:pPr>
          </w:p>
          <w:p w14:paraId="28F1E531" w14:textId="2595692C" w:rsidR="000E33FD" w:rsidRDefault="000E33FD" w:rsidP="00161564">
            <w:pPr>
              <w:rPr>
                <w:rFonts w:ascii="Verdana" w:hAnsi="Verdana" w:cs="Arial"/>
              </w:rPr>
            </w:pPr>
            <w:r>
              <w:rPr>
                <w:rFonts w:ascii="Verdana" w:hAnsi="Verdana" w:cs="Arial"/>
              </w:rPr>
              <w:t xml:space="preserve">The tenants are also responsible for confirming the weekly rent charges at the property they wish to exchange with, </w:t>
            </w:r>
            <w:r w:rsidR="002F7F6D">
              <w:rPr>
                <w:rFonts w:ascii="Verdana" w:hAnsi="Verdana" w:cs="Arial"/>
              </w:rPr>
              <w:t xml:space="preserve">and confirm the tenure type for the property. </w:t>
            </w:r>
          </w:p>
          <w:p w14:paraId="0EDE50AA" w14:textId="77777777" w:rsidR="009F2CD8" w:rsidRDefault="009F2CD8" w:rsidP="00161564">
            <w:pPr>
              <w:rPr>
                <w:rFonts w:ascii="Verdana" w:hAnsi="Verdana" w:cs="Arial"/>
              </w:rPr>
            </w:pPr>
          </w:p>
          <w:p w14:paraId="2A338DE4" w14:textId="02FECC61" w:rsidR="009B72B1" w:rsidRDefault="009F2CD8" w:rsidP="00161564">
            <w:pPr>
              <w:rPr>
                <w:rFonts w:ascii="Verdana" w:hAnsi="Verdana" w:cs="Arial"/>
              </w:rPr>
            </w:pPr>
            <w:r>
              <w:rPr>
                <w:rFonts w:ascii="Verdana" w:hAnsi="Verdana" w:cs="Arial"/>
              </w:rPr>
              <w:t xml:space="preserve">Once an application has been received, the Council will assume that the tenants have completed viewings of each other’s property, are satisfied with the condition of the property and wish to proceed. </w:t>
            </w:r>
          </w:p>
          <w:p w14:paraId="77F9413B" w14:textId="4CBCBBFD" w:rsidR="00931059" w:rsidRDefault="00931059" w:rsidP="009B72B1">
            <w:pPr>
              <w:rPr>
                <w:rFonts w:ascii="Verdana" w:hAnsi="Verdana" w:cs="Arial"/>
                <w:u w:val="single"/>
              </w:rPr>
            </w:pPr>
          </w:p>
        </w:tc>
      </w:tr>
      <w:tr w:rsidR="00BB4910" w14:paraId="2C1CE8DD" w14:textId="77777777" w:rsidTr="005D0574">
        <w:tc>
          <w:tcPr>
            <w:tcW w:w="796" w:type="dxa"/>
          </w:tcPr>
          <w:p w14:paraId="10889710" w14:textId="77777777" w:rsidR="00BB4910" w:rsidRDefault="00BB4910" w:rsidP="00161564">
            <w:pPr>
              <w:rPr>
                <w:rFonts w:ascii="Verdana" w:hAnsi="Verdana" w:cs="Arial"/>
              </w:rPr>
            </w:pPr>
          </w:p>
        </w:tc>
        <w:tc>
          <w:tcPr>
            <w:tcW w:w="8554" w:type="dxa"/>
          </w:tcPr>
          <w:p w14:paraId="631808F7" w14:textId="68EBA071" w:rsidR="00BB4910" w:rsidRPr="00BB4910" w:rsidRDefault="00BB4910" w:rsidP="00161564">
            <w:pPr>
              <w:rPr>
                <w:rFonts w:ascii="Verdana" w:hAnsi="Verdana" w:cs="Arial"/>
                <w:b/>
                <w:bCs/>
              </w:rPr>
            </w:pPr>
            <w:r w:rsidRPr="00BB4910">
              <w:rPr>
                <w:rFonts w:ascii="Verdana" w:hAnsi="Verdana" w:cs="Arial"/>
                <w:b/>
                <w:bCs/>
              </w:rPr>
              <w:t>Applying for a Mutual Exchange</w:t>
            </w:r>
          </w:p>
        </w:tc>
      </w:tr>
      <w:tr w:rsidR="00F17C58" w14:paraId="24280179" w14:textId="77777777" w:rsidTr="005D0574">
        <w:tc>
          <w:tcPr>
            <w:tcW w:w="796" w:type="dxa"/>
          </w:tcPr>
          <w:p w14:paraId="7BB3533C" w14:textId="252CCD4F" w:rsidR="00F17C58" w:rsidRDefault="00626083" w:rsidP="00161564">
            <w:pPr>
              <w:rPr>
                <w:rFonts w:ascii="Verdana" w:hAnsi="Verdana" w:cs="Arial"/>
              </w:rPr>
            </w:pPr>
            <w:r>
              <w:rPr>
                <w:rFonts w:ascii="Verdana" w:hAnsi="Verdana" w:cs="Arial"/>
              </w:rPr>
              <w:t>6.6.</w:t>
            </w:r>
          </w:p>
        </w:tc>
        <w:tc>
          <w:tcPr>
            <w:tcW w:w="8554" w:type="dxa"/>
          </w:tcPr>
          <w:p w14:paraId="2BB9E0F3" w14:textId="7E630CEC" w:rsidR="009B72B1" w:rsidRDefault="00BD4F0B" w:rsidP="00161564">
            <w:pPr>
              <w:rPr>
                <w:rFonts w:ascii="Verdana" w:hAnsi="Verdana" w:cs="Arial"/>
              </w:rPr>
            </w:pPr>
            <w:r>
              <w:rPr>
                <w:rFonts w:ascii="Verdana" w:hAnsi="Verdana" w:cs="Arial"/>
              </w:rPr>
              <w:t xml:space="preserve">All tenants wishing to complete a Mutual Exchange must complete the Mutual Exchange Application Form and submit it </w:t>
            </w:r>
            <w:r w:rsidR="0092385E">
              <w:rPr>
                <w:rFonts w:ascii="Verdana" w:hAnsi="Verdana" w:cs="Arial"/>
              </w:rPr>
              <w:t>to all Housing Providers (the current provider and prospective new provider)</w:t>
            </w:r>
            <w:r>
              <w:rPr>
                <w:rFonts w:ascii="Verdana" w:hAnsi="Verdana" w:cs="Arial"/>
              </w:rPr>
              <w:t xml:space="preserve">. </w:t>
            </w:r>
            <w:r w:rsidR="007C2D41">
              <w:rPr>
                <w:rFonts w:ascii="Verdana" w:hAnsi="Verdana" w:cs="Arial"/>
              </w:rPr>
              <w:t>Applications must include:</w:t>
            </w:r>
          </w:p>
          <w:p w14:paraId="5463AFE8" w14:textId="77777777" w:rsidR="007C2D41" w:rsidRDefault="007C2D41" w:rsidP="00161564">
            <w:pPr>
              <w:rPr>
                <w:rFonts w:ascii="Verdana" w:hAnsi="Verdana" w:cs="Arial"/>
              </w:rPr>
            </w:pPr>
          </w:p>
          <w:p w14:paraId="794BF84B" w14:textId="3D636950" w:rsidR="007C2D41" w:rsidRDefault="007C2D41" w:rsidP="007C2D41">
            <w:pPr>
              <w:pStyle w:val="ListParagraph"/>
              <w:numPr>
                <w:ilvl w:val="0"/>
                <w:numId w:val="18"/>
              </w:numPr>
              <w:rPr>
                <w:rFonts w:ascii="Verdana" w:hAnsi="Verdana" w:cs="Arial"/>
              </w:rPr>
            </w:pPr>
            <w:r>
              <w:rPr>
                <w:rFonts w:ascii="Verdana" w:hAnsi="Verdana" w:cs="Arial"/>
              </w:rPr>
              <w:t xml:space="preserve">Full details of both properties, and tenants. </w:t>
            </w:r>
          </w:p>
          <w:p w14:paraId="238B84B4" w14:textId="6474867B" w:rsidR="007C2D41" w:rsidRDefault="007C2D41" w:rsidP="007C2D41">
            <w:pPr>
              <w:pStyle w:val="ListParagraph"/>
              <w:numPr>
                <w:ilvl w:val="0"/>
                <w:numId w:val="18"/>
              </w:numPr>
              <w:rPr>
                <w:rFonts w:ascii="Verdana" w:hAnsi="Verdana" w:cs="Arial"/>
              </w:rPr>
            </w:pPr>
            <w:r>
              <w:rPr>
                <w:rFonts w:ascii="Verdana" w:hAnsi="Verdana" w:cs="Arial"/>
              </w:rPr>
              <w:t>Consent from all tenants, including any joint tenants; and</w:t>
            </w:r>
          </w:p>
          <w:p w14:paraId="7D84A2B9" w14:textId="0E64D07F" w:rsidR="007C2D41" w:rsidRPr="00BB4910" w:rsidRDefault="007C2D41" w:rsidP="007C2D41">
            <w:pPr>
              <w:pStyle w:val="ListParagraph"/>
              <w:numPr>
                <w:ilvl w:val="0"/>
                <w:numId w:val="18"/>
              </w:numPr>
              <w:rPr>
                <w:rFonts w:ascii="Verdana" w:hAnsi="Verdana" w:cs="Arial"/>
              </w:rPr>
            </w:pPr>
            <w:r>
              <w:rPr>
                <w:rFonts w:ascii="Verdana" w:hAnsi="Verdana" w:cs="Arial"/>
              </w:rPr>
              <w:t xml:space="preserve">All supporting documents requested </w:t>
            </w:r>
            <w:r w:rsidRPr="007C2D41">
              <w:rPr>
                <w:rFonts w:ascii="Verdana" w:hAnsi="Verdana" w:cs="Arial"/>
                <w:i/>
                <w:iCs/>
                <w:sz w:val="20"/>
                <w:szCs w:val="20"/>
              </w:rPr>
              <w:t>(ID, medical information, tenancy agreements etc)</w:t>
            </w:r>
          </w:p>
          <w:p w14:paraId="1B7A2ED5" w14:textId="77777777" w:rsidR="00BB4910" w:rsidRDefault="00BB4910" w:rsidP="00BB4910">
            <w:pPr>
              <w:rPr>
                <w:rFonts w:ascii="Verdana" w:hAnsi="Verdana" w:cs="Arial"/>
              </w:rPr>
            </w:pPr>
          </w:p>
          <w:p w14:paraId="26845B30" w14:textId="25AEAB2A" w:rsidR="00BB4910" w:rsidRPr="00BB4910" w:rsidRDefault="00BB4910" w:rsidP="00BB4910">
            <w:pPr>
              <w:rPr>
                <w:rFonts w:ascii="Verdana" w:hAnsi="Verdana" w:cs="Arial"/>
              </w:rPr>
            </w:pPr>
            <w:r>
              <w:rPr>
                <w:rFonts w:ascii="Verdana" w:hAnsi="Verdana" w:cs="Arial"/>
              </w:rPr>
              <w:lastRenderedPageBreak/>
              <w:t>Any failure to disclose all requested information accurately and truthfully will be deemed a fraudulent application. This will result in the exchange being refused, and a report may be made to the Council’s Legal team and/or Fraud Officer.</w:t>
            </w:r>
          </w:p>
          <w:p w14:paraId="298D133E" w14:textId="34218514" w:rsidR="009B72B1" w:rsidRDefault="009B72B1" w:rsidP="00B2118F">
            <w:pPr>
              <w:rPr>
                <w:rFonts w:ascii="Verdana" w:hAnsi="Verdana" w:cs="Arial"/>
                <w:u w:val="single"/>
              </w:rPr>
            </w:pPr>
          </w:p>
        </w:tc>
      </w:tr>
      <w:tr w:rsidR="00F17C58" w14:paraId="40424674" w14:textId="77777777" w:rsidTr="005D0574">
        <w:tc>
          <w:tcPr>
            <w:tcW w:w="796" w:type="dxa"/>
          </w:tcPr>
          <w:p w14:paraId="5A23C1A6" w14:textId="4352A68F" w:rsidR="00F17C58" w:rsidRDefault="00626083" w:rsidP="00161564">
            <w:pPr>
              <w:rPr>
                <w:rFonts w:ascii="Verdana" w:hAnsi="Verdana" w:cs="Arial"/>
              </w:rPr>
            </w:pPr>
            <w:r>
              <w:rPr>
                <w:rFonts w:ascii="Verdana" w:hAnsi="Verdana" w:cs="Arial"/>
              </w:rPr>
              <w:lastRenderedPageBreak/>
              <w:t>6.7.</w:t>
            </w:r>
          </w:p>
        </w:tc>
        <w:tc>
          <w:tcPr>
            <w:tcW w:w="8554" w:type="dxa"/>
          </w:tcPr>
          <w:p w14:paraId="41718043" w14:textId="44988CC6" w:rsidR="006472C7" w:rsidRDefault="006472C7" w:rsidP="006472C7">
            <w:pPr>
              <w:rPr>
                <w:rFonts w:ascii="Verdana" w:hAnsi="Verdana" w:cs="Arial"/>
              </w:rPr>
            </w:pPr>
            <w:r>
              <w:rPr>
                <w:rFonts w:ascii="Verdana" w:hAnsi="Verdana" w:cs="Arial"/>
              </w:rPr>
              <w:t xml:space="preserve">The Landlord Services Team will </w:t>
            </w:r>
            <w:r w:rsidR="0092385E">
              <w:rPr>
                <w:rFonts w:ascii="Verdana" w:hAnsi="Verdana" w:cs="Arial"/>
              </w:rPr>
              <w:t xml:space="preserve">review </w:t>
            </w:r>
            <w:r>
              <w:rPr>
                <w:rFonts w:ascii="Verdana" w:hAnsi="Verdana" w:cs="Arial"/>
              </w:rPr>
              <w:t>the application within 10-working days</w:t>
            </w:r>
            <w:r w:rsidR="0092385E">
              <w:rPr>
                <w:rFonts w:ascii="Verdana" w:hAnsi="Verdana" w:cs="Arial"/>
              </w:rPr>
              <w:t xml:space="preserve"> of receiving all applications for the proposed exchange</w:t>
            </w:r>
            <w:r>
              <w:rPr>
                <w:rFonts w:ascii="Verdana" w:hAnsi="Verdana" w:cs="Arial"/>
              </w:rPr>
              <w:t>. The Landlord Services Team will:</w:t>
            </w:r>
          </w:p>
          <w:p w14:paraId="3A5253B2" w14:textId="77777777" w:rsidR="006472C7" w:rsidRDefault="006472C7" w:rsidP="006472C7">
            <w:pPr>
              <w:rPr>
                <w:rFonts w:ascii="Verdana" w:hAnsi="Verdana" w:cs="Arial"/>
              </w:rPr>
            </w:pPr>
          </w:p>
          <w:p w14:paraId="411F2130" w14:textId="77777777" w:rsidR="00832849" w:rsidRDefault="00832849" w:rsidP="00832849">
            <w:pPr>
              <w:pStyle w:val="ListParagraph"/>
              <w:numPr>
                <w:ilvl w:val="0"/>
                <w:numId w:val="7"/>
              </w:numPr>
              <w:rPr>
                <w:rFonts w:ascii="Verdana" w:hAnsi="Verdana" w:cs="Arial"/>
              </w:rPr>
            </w:pPr>
            <w:r>
              <w:rPr>
                <w:rFonts w:ascii="Verdana" w:hAnsi="Verdana" w:cs="Arial"/>
              </w:rPr>
              <w:t xml:space="preserve">Review the application to ensure efficient use of the housing stock. Applications will not be accepted where the size of the accommodation exceeds the households needs as per the Allocations Policy. </w:t>
            </w:r>
          </w:p>
          <w:p w14:paraId="30723CB0" w14:textId="3F3D655B" w:rsidR="002C57F3" w:rsidRDefault="002C57F3" w:rsidP="00832849">
            <w:pPr>
              <w:pStyle w:val="ListParagraph"/>
              <w:numPr>
                <w:ilvl w:val="0"/>
                <w:numId w:val="7"/>
              </w:numPr>
              <w:rPr>
                <w:rFonts w:ascii="Verdana" w:hAnsi="Verdana" w:cs="Arial"/>
              </w:rPr>
            </w:pPr>
            <w:r>
              <w:rPr>
                <w:rFonts w:ascii="Verdana" w:hAnsi="Verdana" w:cs="Arial"/>
              </w:rPr>
              <w:t>Review the tenure status and check for tenancy breaches.</w:t>
            </w:r>
          </w:p>
          <w:p w14:paraId="624908B9" w14:textId="77777777" w:rsidR="00832849" w:rsidRDefault="00832849" w:rsidP="00832849">
            <w:pPr>
              <w:pStyle w:val="ListParagraph"/>
              <w:numPr>
                <w:ilvl w:val="0"/>
                <w:numId w:val="7"/>
              </w:numPr>
              <w:rPr>
                <w:rFonts w:ascii="Verdana" w:hAnsi="Verdana" w:cs="Arial"/>
              </w:rPr>
            </w:pPr>
            <w:r>
              <w:rPr>
                <w:rFonts w:ascii="Verdana" w:hAnsi="Verdana" w:cs="Arial"/>
              </w:rPr>
              <w:t xml:space="preserve">Complete a property inspection at our tenant’s current property, including gas &amp; electrical safety checks. An inspection report, including photos will be sent to the incoming tenant; and </w:t>
            </w:r>
          </w:p>
          <w:p w14:paraId="26E09CB1" w14:textId="77777777" w:rsidR="00832849" w:rsidRDefault="00832849" w:rsidP="00832849">
            <w:pPr>
              <w:pStyle w:val="ListParagraph"/>
              <w:numPr>
                <w:ilvl w:val="0"/>
                <w:numId w:val="7"/>
              </w:numPr>
              <w:rPr>
                <w:rFonts w:ascii="Verdana" w:hAnsi="Verdana" w:cs="Arial"/>
              </w:rPr>
            </w:pPr>
            <w:r>
              <w:rPr>
                <w:rFonts w:ascii="Verdana" w:hAnsi="Verdana" w:cs="Arial"/>
              </w:rPr>
              <w:t>Ask the incoming tenant to sign an indemnity form confirming their acceptance of the new property and its current condition.</w:t>
            </w:r>
          </w:p>
          <w:p w14:paraId="79CCF12A" w14:textId="77777777" w:rsidR="00A21701" w:rsidRDefault="00A21701" w:rsidP="00A21701">
            <w:pPr>
              <w:rPr>
                <w:rFonts w:ascii="Verdana" w:hAnsi="Verdana" w:cs="Arial"/>
              </w:rPr>
            </w:pPr>
          </w:p>
          <w:p w14:paraId="376E6065" w14:textId="5C598FCD" w:rsidR="0092385E" w:rsidRDefault="00A21701" w:rsidP="00A21701">
            <w:pPr>
              <w:rPr>
                <w:rFonts w:ascii="Verdana" w:hAnsi="Verdana" w:cs="Arial"/>
              </w:rPr>
            </w:pPr>
            <w:r>
              <w:rPr>
                <w:rFonts w:ascii="Verdana" w:hAnsi="Verdana" w:cs="Arial"/>
              </w:rPr>
              <w:t xml:space="preserve">If the tenant is moving to a home owned by another Social Housing landlord, we will provide a full tenancy reference and will request one for the incoming tenant. </w:t>
            </w:r>
            <w:r w:rsidR="00D43CC7">
              <w:rPr>
                <w:rFonts w:ascii="Verdana" w:hAnsi="Verdana" w:cs="Arial"/>
              </w:rPr>
              <w:t xml:space="preserve">If providing a reference to other landlords, we will disclose known criminal activity related to the property, any known safeguarding issues, and all reports of anti-social behaviour and other tenancy breached, including rent arrears. The application form will include a consent to disclosure statement to this effect. </w:t>
            </w:r>
          </w:p>
          <w:p w14:paraId="3C40E7FC" w14:textId="77777777" w:rsidR="00FA1D0B" w:rsidRDefault="00FA1D0B" w:rsidP="00A21701">
            <w:pPr>
              <w:rPr>
                <w:rFonts w:ascii="Verdana" w:hAnsi="Verdana" w:cs="Arial"/>
              </w:rPr>
            </w:pPr>
          </w:p>
          <w:p w14:paraId="1333054B" w14:textId="42A11684" w:rsidR="00FA1D0B" w:rsidRDefault="00FA1D0B" w:rsidP="00A21701">
            <w:pPr>
              <w:rPr>
                <w:rFonts w:ascii="Verdana" w:hAnsi="Verdana" w:cs="Arial"/>
              </w:rPr>
            </w:pPr>
            <w:r>
              <w:rPr>
                <w:rFonts w:ascii="Verdana" w:hAnsi="Verdana" w:cs="Arial"/>
              </w:rPr>
              <w:t xml:space="preserve">If any of the checks undertaken are not satisfactory, the exchange will be refused, or conditional consent may be issued. Reasons for any refusal or conditional consent will be issued to all </w:t>
            </w:r>
            <w:r w:rsidR="00FA5287">
              <w:rPr>
                <w:rFonts w:ascii="Verdana" w:hAnsi="Verdana" w:cs="Arial"/>
              </w:rPr>
              <w:t>tenants’</w:t>
            </w:r>
            <w:r>
              <w:rPr>
                <w:rFonts w:ascii="Verdana" w:hAnsi="Verdana" w:cs="Arial"/>
              </w:rPr>
              <w:t xml:space="preserve"> party to the exchange.</w:t>
            </w:r>
          </w:p>
          <w:p w14:paraId="28C8F3EB" w14:textId="77777777" w:rsidR="00F17C58" w:rsidRDefault="00F17C58" w:rsidP="00CC5DFD">
            <w:pPr>
              <w:rPr>
                <w:rFonts w:ascii="Verdana" w:hAnsi="Verdana" w:cs="Arial"/>
                <w:u w:val="single"/>
              </w:rPr>
            </w:pPr>
          </w:p>
        </w:tc>
      </w:tr>
      <w:tr w:rsidR="006472C7" w14:paraId="31127C50" w14:textId="77777777" w:rsidTr="005D0574">
        <w:tc>
          <w:tcPr>
            <w:tcW w:w="796" w:type="dxa"/>
          </w:tcPr>
          <w:p w14:paraId="75E2A568" w14:textId="1DD42ECC" w:rsidR="006472C7" w:rsidRDefault="00626083" w:rsidP="00161564">
            <w:pPr>
              <w:rPr>
                <w:rFonts w:ascii="Verdana" w:hAnsi="Verdana" w:cs="Arial"/>
              </w:rPr>
            </w:pPr>
            <w:r>
              <w:rPr>
                <w:rFonts w:ascii="Verdana" w:hAnsi="Verdana" w:cs="Arial"/>
              </w:rPr>
              <w:t>6.8.</w:t>
            </w:r>
          </w:p>
        </w:tc>
        <w:tc>
          <w:tcPr>
            <w:tcW w:w="8554" w:type="dxa"/>
          </w:tcPr>
          <w:p w14:paraId="20E4F967" w14:textId="77777777" w:rsidR="00FA1D0B" w:rsidRDefault="006472C7" w:rsidP="006472C7">
            <w:pPr>
              <w:rPr>
                <w:rFonts w:ascii="Verdana" w:hAnsi="Verdana" w:cs="Arial"/>
              </w:rPr>
            </w:pPr>
            <w:r>
              <w:rPr>
                <w:rFonts w:ascii="Verdana" w:hAnsi="Verdana" w:cs="Arial"/>
              </w:rPr>
              <w:t>A formal decision will be made within 42-calendar days of receiving a complete application. The Council may</w:t>
            </w:r>
            <w:r w:rsidR="00FA1D0B">
              <w:rPr>
                <w:rFonts w:ascii="Verdana" w:hAnsi="Verdana" w:cs="Arial"/>
              </w:rPr>
              <w:t>:</w:t>
            </w:r>
          </w:p>
          <w:p w14:paraId="4840DBAA" w14:textId="77777777" w:rsidR="00FA1D0B" w:rsidRDefault="00FA1D0B" w:rsidP="006472C7">
            <w:pPr>
              <w:rPr>
                <w:rFonts w:ascii="Verdana" w:hAnsi="Verdana" w:cs="Arial"/>
              </w:rPr>
            </w:pPr>
          </w:p>
          <w:p w14:paraId="3CB1DE1A" w14:textId="77777777" w:rsidR="00FA1D0B" w:rsidRDefault="006472C7" w:rsidP="00FA1D0B">
            <w:pPr>
              <w:pStyle w:val="ListParagraph"/>
              <w:numPr>
                <w:ilvl w:val="0"/>
                <w:numId w:val="22"/>
              </w:numPr>
              <w:rPr>
                <w:rFonts w:ascii="Verdana" w:hAnsi="Verdana" w:cs="Arial"/>
              </w:rPr>
            </w:pPr>
            <w:r w:rsidRPr="00FA1D0B">
              <w:rPr>
                <w:rFonts w:ascii="Verdana" w:hAnsi="Verdana" w:cs="Arial"/>
              </w:rPr>
              <w:t>approve the exchange</w:t>
            </w:r>
          </w:p>
          <w:p w14:paraId="392CB545" w14:textId="0332F0EF" w:rsidR="00FA1D0B" w:rsidRDefault="006472C7" w:rsidP="00FA1D0B">
            <w:pPr>
              <w:pStyle w:val="ListParagraph"/>
              <w:numPr>
                <w:ilvl w:val="0"/>
                <w:numId w:val="22"/>
              </w:numPr>
              <w:rPr>
                <w:rFonts w:ascii="Verdana" w:hAnsi="Verdana" w:cs="Arial"/>
              </w:rPr>
            </w:pPr>
            <w:r w:rsidRPr="00FA1D0B">
              <w:rPr>
                <w:rFonts w:ascii="Verdana" w:hAnsi="Verdana" w:cs="Arial"/>
              </w:rPr>
              <w:t xml:space="preserve">approve the exchange with conditions </w:t>
            </w:r>
          </w:p>
          <w:p w14:paraId="4BDFFCB3" w14:textId="5FF16374" w:rsidR="006472C7" w:rsidRPr="00FA1D0B" w:rsidRDefault="006472C7" w:rsidP="00FA1D0B">
            <w:pPr>
              <w:pStyle w:val="ListParagraph"/>
              <w:numPr>
                <w:ilvl w:val="0"/>
                <w:numId w:val="22"/>
              </w:numPr>
              <w:rPr>
                <w:rFonts w:ascii="Verdana" w:hAnsi="Verdana" w:cs="Arial"/>
              </w:rPr>
            </w:pPr>
            <w:r w:rsidRPr="00FA1D0B">
              <w:rPr>
                <w:rFonts w:ascii="Verdana" w:hAnsi="Verdana" w:cs="Arial"/>
              </w:rPr>
              <w:t>refused based on the statutory grounds</w:t>
            </w:r>
          </w:p>
          <w:p w14:paraId="28C3945D" w14:textId="77777777" w:rsidR="00D84FDA" w:rsidRDefault="00D84FDA" w:rsidP="006472C7">
            <w:pPr>
              <w:rPr>
                <w:rFonts w:ascii="Verdana" w:hAnsi="Verdana" w:cs="Arial"/>
              </w:rPr>
            </w:pPr>
          </w:p>
          <w:p w14:paraId="2460738F" w14:textId="6373518E" w:rsidR="00A21701" w:rsidRDefault="00A21701" w:rsidP="00A21701">
            <w:pPr>
              <w:rPr>
                <w:rFonts w:ascii="Verdana" w:hAnsi="Verdana" w:cs="Arial"/>
              </w:rPr>
            </w:pPr>
            <w:r>
              <w:rPr>
                <w:rFonts w:ascii="Verdana" w:hAnsi="Verdana" w:cs="Arial"/>
              </w:rPr>
              <w:t xml:space="preserve">An exchange will only take place once written permission has been given from all landlords. If for any reason, the exchange is not approved, the reason for the refusal will be put in writing to </w:t>
            </w:r>
            <w:r w:rsidR="00FA1D0B">
              <w:rPr>
                <w:rFonts w:ascii="Verdana" w:hAnsi="Verdana" w:cs="Arial"/>
              </w:rPr>
              <w:t>all tenants within the exchange.</w:t>
            </w:r>
          </w:p>
          <w:p w14:paraId="25417E2C" w14:textId="77777777" w:rsidR="00A21701" w:rsidRDefault="00A21701" w:rsidP="00A21701">
            <w:pPr>
              <w:rPr>
                <w:rFonts w:ascii="Verdana" w:hAnsi="Verdana" w:cs="Arial"/>
              </w:rPr>
            </w:pPr>
          </w:p>
          <w:p w14:paraId="6D74FB7D" w14:textId="42241395" w:rsidR="00A21701" w:rsidRDefault="00A21701" w:rsidP="00A21701">
            <w:pPr>
              <w:rPr>
                <w:rFonts w:ascii="Verdana" w:hAnsi="Verdana" w:cs="Arial"/>
              </w:rPr>
            </w:pPr>
            <w:r>
              <w:rPr>
                <w:rFonts w:ascii="Verdana" w:hAnsi="Verdana" w:cs="Arial"/>
              </w:rPr>
              <w:t xml:space="preserve">The Council can only refuse to agree to an exchange on specified grounds in law that governs mutual exchanges – these are set out in either the Housing Act 1985 or Localism Act 2011. </w:t>
            </w:r>
          </w:p>
          <w:p w14:paraId="12F08B08" w14:textId="77777777" w:rsidR="006472C7" w:rsidRDefault="006472C7" w:rsidP="00FA5287">
            <w:pPr>
              <w:rPr>
                <w:rFonts w:ascii="Verdana" w:hAnsi="Verdana" w:cs="Arial"/>
                <w:u w:val="single"/>
              </w:rPr>
            </w:pPr>
          </w:p>
        </w:tc>
      </w:tr>
      <w:tr w:rsidR="00FA5287" w14:paraId="708ACA28" w14:textId="77777777" w:rsidTr="005D0574">
        <w:tc>
          <w:tcPr>
            <w:tcW w:w="796" w:type="dxa"/>
          </w:tcPr>
          <w:p w14:paraId="36FE3D8F" w14:textId="77777777" w:rsidR="00FA5287" w:rsidRDefault="00FA5287" w:rsidP="00161564">
            <w:pPr>
              <w:rPr>
                <w:rFonts w:ascii="Verdana" w:hAnsi="Verdana" w:cs="Arial"/>
              </w:rPr>
            </w:pPr>
          </w:p>
        </w:tc>
        <w:tc>
          <w:tcPr>
            <w:tcW w:w="8554" w:type="dxa"/>
          </w:tcPr>
          <w:p w14:paraId="528C6EFD" w14:textId="5C164ECB" w:rsidR="00FA5287" w:rsidRPr="00FA5287" w:rsidRDefault="00FA5287" w:rsidP="006472C7">
            <w:pPr>
              <w:rPr>
                <w:rFonts w:ascii="Verdana" w:hAnsi="Verdana" w:cs="Arial"/>
                <w:b/>
                <w:bCs/>
              </w:rPr>
            </w:pPr>
            <w:r w:rsidRPr="00FA5287">
              <w:rPr>
                <w:rFonts w:ascii="Verdana" w:hAnsi="Verdana" w:cs="Arial"/>
                <w:b/>
                <w:bCs/>
              </w:rPr>
              <w:t>Adapted Properties</w:t>
            </w:r>
          </w:p>
        </w:tc>
      </w:tr>
      <w:tr w:rsidR="00FA5287" w14:paraId="405230C5" w14:textId="77777777" w:rsidTr="005D0574">
        <w:tc>
          <w:tcPr>
            <w:tcW w:w="796" w:type="dxa"/>
          </w:tcPr>
          <w:p w14:paraId="3A2CAB77" w14:textId="767753F1" w:rsidR="00FA5287" w:rsidRDefault="00626083" w:rsidP="00161564">
            <w:pPr>
              <w:rPr>
                <w:rFonts w:ascii="Verdana" w:hAnsi="Verdana" w:cs="Arial"/>
              </w:rPr>
            </w:pPr>
            <w:r>
              <w:rPr>
                <w:rFonts w:ascii="Verdana" w:hAnsi="Verdana" w:cs="Arial"/>
              </w:rPr>
              <w:t>6.9.</w:t>
            </w:r>
          </w:p>
        </w:tc>
        <w:tc>
          <w:tcPr>
            <w:tcW w:w="8554" w:type="dxa"/>
          </w:tcPr>
          <w:p w14:paraId="5E8D41E9" w14:textId="77777777" w:rsidR="00FA5287" w:rsidRDefault="00FA5287" w:rsidP="00FA5287">
            <w:pPr>
              <w:rPr>
                <w:rFonts w:ascii="Verdana" w:hAnsi="Verdana" w:cs="Arial"/>
              </w:rPr>
            </w:pPr>
            <w:r>
              <w:rPr>
                <w:rFonts w:ascii="Verdana" w:hAnsi="Verdana" w:cs="Arial"/>
              </w:rPr>
              <w:t xml:space="preserve">Where appropriate, the Council will have regard to household members that have a disability as defined by the Equality Act 2010. Properties that have been adapted for medical reasons will not be let to households that do not require the adaptations. </w:t>
            </w:r>
          </w:p>
          <w:p w14:paraId="6C266767" w14:textId="77777777" w:rsidR="00FA5287" w:rsidRDefault="00FA5287" w:rsidP="00FA5287">
            <w:pPr>
              <w:rPr>
                <w:rFonts w:ascii="Verdana" w:hAnsi="Verdana" w:cs="Arial"/>
              </w:rPr>
            </w:pPr>
          </w:p>
          <w:p w14:paraId="1859B981" w14:textId="77777777" w:rsidR="00FA5287" w:rsidRDefault="00FA5287" w:rsidP="00FA5287">
            <w:pPr>
              <w:rPr>
                <w:rFonts w:ascii="Verdana" w:hAnsi="Verdana" w:cs="Arial"/>
              </w:rPr>
            </w:pPr>
            <w:r>
              <w:rPr>
                <w:rFonts w:ascii="Verdana" w:hAnsi="Verdana" w:cs="Arial"/>
              </w:rPr>
              <w:t>Any incoming tenant requiring an adapted property that is not already adapted, will not have the exchange approved on the grounds of property suitability in line with the Allocations Policy.</w:t>
            </w:r>
          </w:p>
          <w:p w14:paraId="452E50AC" w14:textId="77777777" w:rsidR="00FA5287" w:rsidRDefault="00FA5287" w:rsidP="00FA5287">
            <w:pPr>
              <w:rPr>
                <w:rFonts w:ascii="Verdana" w:hAnsi="Verdana" w:cs="Arial"/>
              </w:rPr>
            </w:pPr>
          </w:p>
          <w:p w14:paraId="1CD9A2EA" w14:textId="77777777" w:rsidR="00FA5287" w:rsidRDefault="00FA5287" w:rsidP="00FA5287">
            <w:pPr>
              <w:rPr>
                <w:rFonts w:ascii="Verdana" w:hAnsi="Verdana" w:cs="Arial"/>
              </w:rPr>
            </w:pPr>
            <w:r>
              <w:rPr>
                <w:rFonts w:ascii="Verdana" w:hAnsi="Verdana" w:cs="Arial"/>
              </w:rPr>
              <w:t xml:space="preserve">Within two years post mutual exchange, the Council will not carry out any major adaptations to the property that has been exchanged into, nor will any applications be accepted for adaptations. Major adaptations are explained in the Aids and Adaptations Policy. </w:t>
            </w:r>
          </w:p>
          <w:p w14:paraId="644BA8F9" w14:textId="77777777" w:rsidR="00FA5287" w:rsidRDefault="00FA5287" w:rsidP="00FA5287">
            <w:pPr>
              <w:rPr>
                <w:rFonts w:ascii="Verdana" w:hAnsi="Verdana" w:cs="Arial"/>
              </w:rPr>
            </w:pPr>
          </w:p>
          <w:p w14:paraId="459E3A9D" w14:textId="77777777" w:rsidR="00FA5287" w:rsidRDefault="00FA5287" w:rsidP="00FA5287">
            <w:pPr>
              <w:rPr>
                <w:rFonts w:ascii="Verdana" w:hAnsi="Verdana" w:cs="Arial"/>
              </w:rPr>
            </w:pPr>
            <w:r>
              <w:rPr>
                <w:rFonts w:ascii="Verdana" w:hAnsi="Verdana" w:cs="Arial"/>
              </w:rPr>
              <w:t>If a property that has been exchanged into becomes unsuitable due to existing medical needs that were not declared as part of the application, the matter may be referred to the Council’s Legal team and/or Fraud Officer.</w:t>
            </w:r>
          </w:p>
          <w:p w14:paraId="623B70ED" w14:textId="77777777" w:rsidR="00FA5287" w:rsidRDefault="00FA5287" w:rsidP="00FA5287">
            <w:pPr>
              <w:rPr>
                <w:rFonts w:ascii="Verdana" w:hAnsi="Verdana" w:cs="Arial"/>
              </w:rPr>
            </w:pPr>
          </w:p>
          <w:p w14:paraId="1D681069" w14:textId="33891B7D" w:rsidR="00FA5287" w:rsidRDefault="00FA5287" w:rsidP="00FA5287">
            <w:pPr>
              <w:rPr>
                <w:rFonts w:ascii="Verdana" w:hAnsi="Verdana" w:cs="Arial"/>
              </w:rPr>
            </w:pPr>
            <w:r>
              <w:rPr>
                <w:rFonts w:ascii="Verdana" w:hAnsi="Verdana" w:cs="Arial"/>
              </w:rPr>
              <w:t xml:space="preserve">If there has been no fraudulent application made, and all medical needs were declared as required, but the medical needs of the tenant changes post mutual exchange, these situations will be reviewed on a </w:t>
            </w:r>
            <w:r w:rsidR="00D43CC7">
              <w:rPr>
                <w:rFonts w:ascii="Verdana" w:hAnsi="Verdana" w:cs="Arial"/>
              </w:rPr>
              <w:t>case-by-case</w:t>
            </w:r>
            <w:r>
              <w:rPr>
                <w:rFonts w:ascii="Verdana" w:hAnsi="Verdana" w:cs="Arial"/>
              </w:rPr>
              <w:t xml:space="preserve"> basis by the Aids and Adaptations Panel.</w:t>
            </w:r>
          </w:p>
          <w:p w14:paraId="5EBAD38A" w14:textId="77777777" w:rsidR="00FA5287" w:rsidRPr="00FA5287" w:rsidRDefault="00FA5287" w:rsidP="006472C7">
            <w:pPr>
              <w:rPr>
                <w:rFonts w:ascii="Verdana" w:hAnsi="Verdana" w:cs="Arial"/>
                <w:b/>
                <w:bCs/>
              </w:rPr>
            </w:pPr>
          </w:p>
        </w:tc>
      </w:tr>
      <w:tr w:rsidR="00E26739" w14:paraId="0FF9911D" w14:textId="77777777" w:rsidTr="005D0574">
        <w:tc>
          <w:tcPr>
            <w:tcW w:w="796" w:type="dxa"/>
          </w:tcPr>
          <w:p w14:paraId="228C11DF" w14:textId="0E1FEFC8" w:rsidR="00E26739" w:rsidRPr="00626083" w:rsidRDefault="00626083" w:rsidP="00E26739">
            <w:pPr>
              <w:rPr>
                <w:rFonts w:ascii="Verdana" w:hAnsi="Verdana" w:cs="Arial"/>
                <w:b/>
                <w:bCs/>
              </w:rPr>
            </w:pPr>
            <w:r w:rsidRPr="00626083">
              <w:rPr>
                <w:rFonts w:ascii="Verdana" w:hAnsi="Verdana" w:cs="Arial"/>
                <w:b/>
                <w:bCs/>
                <w:color w:val="385623" w:themeColor="accent6" w:themeShade="80"/>
                <w:sz w:val="24"/>
                <w:szCs w:val="24"/>
              </w:rPr>
              <w:t>7</w:t>
            </w:r>
            <w:r>
              <w:rPr>
                <w:rFonts w:ascii="Verdana" w:hAnsi="Verdana" w:cs="Arial"/>
                <w:b/>
                <w:bCs/>
                <w:color w:val="385623" w:themeColor="accent6" w:themeShade="80"/>
                <w:sz w:val="24"/>
                <w:szCs w:val="24"/>
              </w:rPr>
              <w:t>.</w:t>
            </w:r>
          </w:p>
        </w:tc>
        <w:tc>
          <w:tcPr>
            <w:tcW w:w="8554" w:type="dxa"/>
          </w:tcPr>
          <w:p w14:paraId="72966DA7" w14:textId="642E6B9B" w:rsidR="00E26739" w:rsidRDefault="00E26739" w:rsidP="00E26739">
            <w:pPr>
              <w:rPr>
                <w:rFonts w:ascii="Verdana" w:hAnsi="Verdana" w:cs="Arial"/>
              </w:rPr>
            </w:pPr>
            <w:r>
              <w:rPr>
                <w:rFonts w:ascii="Verdana" w:hAnsi="Verdana" w:cs="Arial"/>
                <w:b/>
                <w:bCs/>
                <w:color w:val="385623" w:themeColor="accent6" w:themeShade="80"/>
                <w:sz w:val="24"/>
                <w:szCs w:val="24"/>
              </w:rPr>
              <w:t>Grounds for Refusal and Conditional Consent</w:t>
            </w:r>
          </w:p>
        </w:tc>
      </w:tr>
      <w:tr w:rsidR="00E26739" w14:paraId="22AFC21B" w14:textId="77777777" w:rsidTr="005D0574">
        <w:tc>
          <w:tcPr>
            <w:tcW w:w="796" w:type="dxa"/>
          </w:tcPr>
          <w:p w14:paraId="43BBA490" w14:textId="3AB192F4" w:rsidR="00E26739" w:rsidRDefault="00626083" w:rsidP="00E26739">
            <w:pPr>
              <w:rPr>
                <w:rFonts w:ascii="Verdana" w:hAnsi="Verdana" w:cs="Arial"/>
              </w:rPr>
            </w:pPr>
            <w:r>
              <w:rPr>
                <w:rFonts w:ascii="Verdana" w:hAnsi="Verdana" w:cs="Arial"/>
              </w:rPr>
              <w:t>7.1.</w:t>
            </w:r>
          </w:p>
        </w:tc>
        <w:tc>
          <w:tcPr>
            <w:tcW w:w="8554" w:type="dxa"/>
          </w:tcPr>
          <w:p w14:paraId="63E30F3E" w14:textId="77777777" w:rsidR="00E26739" w:rsidRPr="00126029" w:rsidRDefault="00E26739" w:rsidP="00E26739">
            <w:pPr>
              <w:rPr>
                <w:rFonts w:ascii="Verdana" w:hAnsi="Verdana" w:cs="Arial"/>
                <w:u w:val="single"/>
              </w:rPr>
            </w:pPr>
            <w:r w:rsidRPr="00126029">
              <w:rPr>
                <w:rFonts w:ascii="Verdana" w:hAnsi="Verdana" w:cs="Arial"/>
                <w:u w:val="single"/>
              </w:rPr>
              <w:t>Grounds for Refusal</w:t>
            </w:r>
          </w:p>
          <w:p w14:paraId="18CCB9FB" w14:textId="77777777" w:rsidR="00E26739" w:rsidRDefault="00E26739" w:rsidP="00E26739">
            <w:pPr>
              <w:rPr>
                <w:rFonts w:ascii="Verdana" w:hAnsi="Verdana" w:cs="Arial"/>
              </w:rPr>
            </w:pPr>
          </w:p>
          <w:p w14:paraId="0107A0B6" w14:textId="77777777" w:rsidR="00E26739" w:rsidRDefault="00E26739" w:rsidP="00E26739">
            <w:pPr>
              <w:rPr>
                <w:rFonts w:ascii="Verdana" w:hAnsi="Verdana" w:cs="Arial"/>
              </w:rPr>
            </w:pPr>
            <w:r w:rsidRPr="009F216B">
              <w:rPr>
                <w:rFonts w:ascii="Verdana" w:hAnsi="Verdana" w:cs="Arial"/>
              </w:rPr>
              <w:t>The Council may refuse consent or grant conditional consent for a mutual exchange</w:t>
            </w:r>
            <w:r>
              <w:rPr>
                <w:rFonts w:ascii="Verdana" w:hAnsi="Verdana" w:cs="Arial"/>
              </w:rPr>
              <w:t xml:space="preserve"> only on lawful grounds, including but are not limited to:</w:t>
            </w:r>
          </w:p>
          <w:p w14:paraId="1CAD2762" w14:textId="77777777" w:rsidR="00E26739" w:rsidRDefault="00E26739" w:rsidP="00E26739">
            <w:pPr>
              <w:rPr>
                <w:rFonts w:ascii="Verdana" w:hAnsi="Verdana" w:cs="Arial"/>
              </w:rPr>
            </w:pPr>
          </w:p>
          <w:p w14:paraId="39CC9619" w14:textId="4479158B" w:rsidR="00E26739" w:rsidRDefault="00E26739" w:rsidP="00E26739">
            <w:pPr>
              <w:pStyle w:val="ListParagraph"/>
              <w:numPr>
                <w:ilvl w:val="0"/>
                <w:numId w:val="17"/>
              </w:numPr>
              <w:rPr>
                <w:rFonts w:ascii="Verdana" w:hAnsi="Verdana" w:cs="Arial"/>
              </w:rPr>
            </w:pPr>
            <w:r>
              <w:rPr>
                <w:rFonts w:ascii="Verdana" w:hAnsi="Verdana" w:cs="Arial"/>
              </w:rPr>
              <w:t xml:space="preserve">Possession Orders or Legal Action: If either tenant is subject to possession proceedings, or Notices under Schedule </w:t>
            </w:r>
            <w:r w:rsidRPr="00626083">
              <w:rPr>
                <w:rFonts w:ascii="Verdana" w:hAnsi="Verdana" w:cs="Arial"/>
              </w:rPr>
              <w:t>3</w:t>
            </w:r>
            <w:r w:rsidRPr="009A31F7">
              <w:rPr>
                <w:rFonts w:ascii="Verdana" w:hAnsi="Verdana" w:cs="Arial"/>
                <w:color w:val="FF0000"/>
              </w:rPr>
              <w:t xml:space="preserve"> </w:t>
            </w:r>
            <w:r>
              <w:rPr>
                <w:rFonts w:ascii="Verdana" w:hAnsi="Verdana" w:cs="Arial"/>
              </w:rPr>
              <w:t>of Housing Act 1985.</w:t>
            </w:r>
          </w:p>
          <w:p w14:paraId="78A70499" w14:textId="77777777" w:rsidR="00E26739" w:rsidRDefault="00E26739" w:rsidP="00E26739">
            <w:pPr>
              <w:pStyle w:val="ListParagraph"/>
              <w:rPr>
                <w:rFonts w:ascii="Verdana" w:hAnsi="Verdana" w:cs="Arial"/>
              </w:rPr>
            </w:pPr>
          </w:p>
          <w:p w14:paraId="3A685D11" w14:textId="77777777" w:rsidR="00E26739" w:rsidRDefault="00E26739" w:rsidP="00E26739">
            <w:pPr>
              <w:pStyle w:val="ListParagraph"/>
              <w:numPr>
                <w:ilvl w:val="0"/>
                <w:numId w:val="17"/>
              </w:numPr>
              <w:rPr>
                <w:rFonts w:ascii="Verdana" w:hAnsi="Verdana" w:cs="Arial"/>
              </w:rPr>
            </w:pPr>
            <w:r>
              <w:rPr>
                <w:rFonts w:ascii="Verdana" w:hAnsi="Verdana" w:cs="Arial"/>
              </w:rPr>
              <w:t xml:space="preserve">Rent Arrears or Tenancy Breaches: Where there are rent arrears, or other tenancy breaches may delay or prevent consent unless the arrears are cleared. </w:t>
            </w:r>
          </w:p>
          <w:p w14:paraId="50C715D7" w14:textId="77777777" w:rsidR="00E26739" w:rsidRPr="009A31F7" w:rsidRDefault="00E26739" w:rsidP="00E26739">
            <w:pPr>
              <w:pStyle w:val="ListParagraph"/>
              <w:rPr>
                <w:rFonts w:ascii="Verdana" w:hAnsi="Verdana" w:cs="Arial"/>
              </w:rPr>
            </w:pPr>
          </w:p>
          <w:p w14:paraId="009DA995" w14:textId="77777777" w:rsidR="00E26739" w:rsidRDefault="00E26739" w:rsidP="00E26739">
            <w:pPr>
              <w:pStyle w:val="ListParagraph"/>
              <w:numPr>
                <w:ilvl w:val="0"/>
                <w:numId w:val="17"/>
              </w:numPr>
              <w:rPr>
                <w:rFonts w:ascii="Verdana" w:hAnsi="Verdana" w:cs="Arial"/>
              </w:rPr>
            </w:pPr>
            <w:r>
              <w:rPr>
                <w:rFonts w:ascii="Verdana" w:hAnsi="Verdana" w:cs="Arial"/>
              </w:rPr>
              <w:t>Property Size: The in-coming tenants household size must reasonably fit the property (no overcrowding or under-occupation).</w:t>
            </w:r>
          </w:p>
          <w:p w14:paraId="3B7F6FC1" w14:textId="77777777" w:rsidR="00E26739" w:rsidRPr="004B65BC" w:rsidRDefault="00E26739" w:rsidP="00E26739">
            <w:pPr>
              <w:pStyle w:val="ListParagraph"/>
              <w:rPr>
                <w:rFonts w:ascii="Verdana" w:hAnsi="Verdana" w:cs="Arial"/>
              </w:rPr>
            </w:pPr>
          </w:p>
          <w:p w14:paraId="22EF028D" w14:textId="77777777" w:rsidR="00E26739" w:rsidRDefault="00E26739" w:rsidP="00E26739">
            <w:pPr>
              <w:pStyle w:val="ListParagraph"/>
              <w:numPr>
                <w:ilvl w:val="0"/>
                <w:numId w:val="17"/>
              </w:numPr>
              <w:rPr>
                <w:rFonts w:ascii="Verdana" w:hAnsi="Verdana" w:cs="Arial"/>
              </w:rPr>
            </w:pPr>
            <w:r>
              <w:rPr>
                <w:rFonts w:ascii="Verdana" w:hAnsi="Verdana" w:cs="Arial"/>
              </w:rPr>
              <w:t>Aids and Adaptations: If adaptations or special housing needs are no longer met by the in-coming tenant.</w:t>
            </w:r>
          </w:p>
          <w:p w14:paraId="4641AC72" w14:textId="77777777" w:rsidR="00E26739" w:rsidRPr="004B65BC" w:rsidRDefault="00E26739" w:rsidP="00E26739">
            <w:pPr>
              <w:pStyle w:val="ListParagraph"/>
              <w:rPr>
                <w:rFonts w:ascii="Verdana" w:hAnsi="Verdana" w:cs="Arial"/>
              </w:rPr>
            </w:pPr>
          </w:p>
          <w:p w14:paraId="6081675B" w14:textId="77777777" w:rsidR="00E26739" w:rsidRDefault="00E26739" w:rsidP="00E26739">
            <w:pPr>
              <w:pStyle w:val="ListParagraph"/>
              <w:numPr>
                <w:ilvl w:val="0"/>
                <w:numId w:val="17"/>
              </w:numPr>
              <w:rPr>
                <w:rFonts w:ascii="Verdana" w:hAnsi="Verdana" w:cs="Arial"/>
              </w:rPr>
            </w:pPr>
            <w:r>
              <w:rPr>
                <w:rFonts w:ascii="Verdana" w:hAnsi="Verdana" w:cs="Arial"/>
              </w:rPr>
              <w:lastRenderedPageBreak/>
              <w:t>Unsuitability: Where the property is unsuitable for the in-coming tenants’ household due to physical, support or other specific needs.</w:t>
            </w:r>
          </w:p>
          <w:p w14:paraId="5F66F502" w14:textId="77777777" w:rsidR="00E26739" w:rsidRPr="005C3352" w:rsidRDefault="00E26739" w:rsidP="00E26739">
            <w:pPr>
              <w:pStyle w:val="ListParagraph"/>
              <w:rPr>
                <w:rFonts w:ascii="Verdana" w:hAnsi="Verdana" w:cs="Arial"/>
              </w:rPr>
            </w:pPr>
          </w:p>
          <w:p w14:paraId="0BD23D99" w14:textId="77777777" w:rsidR="00E26739" w:rsidRDefault="00E26739" w:rsidP="00E26739">
            <w:pPr>
              <w:pStyle w:val="ListParagraph"/>
              <w:numPr>
                <w:ilvl w:val="0"/>
                <w:numId w:val="17"/>
              </w:numPr>
              <w:rPr>
                <w:rFonts w:ascii="Verdana" w:hAnsi="Verdana" w:cs="Arial"/>
              </w:rPr>
            </w:pPr>
            <w:r>
              <w:rPr>
                <w:rFonts w:ascii="Verdana" w:hAnsi="Verdana" w:cs="Arial"/>
              </w:rPr>
              <w:t xml:space="preserve">False or Misleading Information: Any dishonesty in the application process. </w:t>
            </w:r>
          </w:p>
          <w:p w14:paraId="1B91D154" w14:textId="77777777" w:rsidR="00E26739" w:rsidRPr="005C3352" w:rsidRDefault="00E26739" w:rsidP="00E26739">
            <w:pPr>
              <w:pStyle w:val="ListParagraph"/>
              <w:rPr>
                <w:rFonts w:ascii="Verdana" w:hAnsi="Verdana" w:cs="Arial"/>
              </w:rPr>
            </w:pPr>
          </w:p>
          <w:p w14:paraId="3D17297E" w14:textId="0B51F33E" w:rsidR="00626083" w:rsidRPr="00626083" w:rsidRDefault="00E26739" w:rsidP="00626083">
            <w:pPr>
              <w:pStyle w:val="ListParagraph"/>
              <w:numPr>
                <w:ilvl w:val="0"/>
                <w:numId w:val="17"/>
              </w:numPr>
              <w:rPr>
                <w:rFonts w:ascii="Verdana" w:hAnsi="Verdana" w:cs="Arial"/>
              </w:rPr>
            </w:pPr>
            <w:r>
              <w:rPr>
                <w:rFonts w:ascii="Verdana" w:hAnsi="Verdana" w:cs="Arial"/>
              </w:rPr>
              <w:t xml:space="preserve">Failure to meet conditions: If there are any outstanding repairs or required approvals that remain unaddressed. </w:t>
            </w:r>
          </w:p>
          <w:p w14:paraId="10A4F09F" w14:textId="0917DE7E" w:rsidR="00626083" w:rsidRPr="00626083" w:rsidRDefault="00626083" w:rsidP="00626083">
            <w:pPr>
              <w:pStyle w:val="ListParagraph"/>
              <w:rPr>
                <w:rFonts w:ascii="Verdana" w:hAnsi="Verdana" w:cs="Arial"/>
              </w:rPr>
            </w:pPr>
          </w:p>
        </w:tc>
      </w:tr>
      <w:tr w:rsidR="00626083" w14:paraId="4D7E4925" w14:textId="77777777" w:rsidTr="005D0574">
        <w:tc>
          <w:tcPr>
            <w:tcW w:w="796" w:type="dxa"/>
          </w:tcPr>
          <w:p w14:paraId="5283E04B" w14:textId="6C84CD7F" w:rsidR="00626083" w:rsidRDefault="00BF0D58" w:rsidP="00E26739">
            <w:pPr>
              <w:rPr>
                <w:rFonts w:ascii="Verdana" w:hAnsi="Verdana" w:cs="Arial"/>
              </w:rPr>
            </w:pPr>
            <w:r>
              <w:rPr>
                <w:rFonts w:ascii="Verdana" w:hAnsi="Verdana" w:cs="Arial"/>
              </w:rPr>
              <w:lastRenderedPageBreak/>
              <w:t>7.2.</w:t>
            </w:r>
          </w:p>
        </w:tc>
        <w:tc>
          <w:tcPr>
            <w:tcW w:w="8554" w:type="dxa"/>
          </w:tcPr>
          <w:p w14:paraId="255F0E46" w14:textId="77777777" w:rsidR="00626083" w:rsidRPr="005417CB" w:rsidRDefault="00626083" w:rsidP="00626083">
            <w:pPr>
              <w:rPr>
                <w:rFonts w:ascii="Verdana" w:hAnsi="Verdana" w:cs="Arial"/>
                <w:u w:val="single"/>
              </w:rPr>
            </w:pPr>
            <w:r w:rsidRPr="005417CB">
              <w:rPr>
                <w:rFonts w:ascii="Verdana" w:hAnsi="Verdana" w:cs="Arial"/>
                <w:u w:val="single"/>
              </w:rPr>
              <w:t>Conditional Consent</w:t>
            </w:r>
          </w:p>
          <w:p w14:paraId="4AB34ACD" w14:textId="77777777" w:rsidR="00626083" w:rsidRDefault="00626083" w:rsidP="00626083">
            <w:pPr>
              <w:rPr>
                <w:rFonts w:ascii="Verdana" w:hAnsi="Verdana" w:cs="Arial"/>
              </w:rPr>
            </w:pPr>
          </w:p>
          <w:p w14:paraId="5B497D3A" w14:textId="77777777" w:rsidR="00626083" w:rsidRDefault="00626083" w:rsidP="00626083">
            <w:pPr>
              <w:rPr>
                <w:rFonts w:ascii="Verdana" w:hAnsi="Verdana" w:cs="Arial"/>
              </w:rPr>
            </w:pPr>
            <w:r>
              <w:rPr>
                <w:rFonts w:ascii="Verdana" w:hAnsi="Verdana" w:cs="Arial"/>
              </w:rPr>
              <w:t>Conditional consent can be given in cases where there are additional breaches of tenancy, including but not limited to:</w:t>
            </w:r>
          </w:p>
          <w:p w14:paraId="2D560359" w14:textId="77777777" w:rsidR="00626083" w:rsidRDefault="00626083" w:rsidP="00626083">
            <w:pPr>
              <w:rPr>
                <w:rFonts w:ascii="Verdana" w:hAnsi="Verdana" w:cs="Arial"/>
              </w:rPr>
            </w:pPr>
          </w:p>
          <w:p w14:paraId="57CB28AD" w14:textId="77777777" w:rsidR="00626083" w:rsidRDefault="00626083" w:rsidP="00626083">
            <w:pPr>
              <w:pStyle w:val="ListParagraph"/>
              <w:numPr>
                <w:ilvl w:val="0"/>
                <w:numId w:val="21"/>
              </w:numPr>
              <w:rPr>
                <w:rFonts w:ascii="Verdana" w:hAnsi="Verdana" w:cs="Arial"/>
              </w:rPr>
            </w:pPr>
            <w:r>
              <w:rPr>
                <w:rFonts w:ascii="Verdana" w:hAnsi="Verdana" w:cs="Arial"/>
              </w:rPr>
              <w:t>R</w:t>
            </w:r>
            <w:r w:rsidRPr="007C1EFC">
              <w:rPr>
                <w:rFonts w:ascii="Verdana" w:hAnsi="Verdana" w:cs="Arial"/>
              </w:rPr>
              <w:t>ent arrears</w:t>
            </w:r>
          </w:p>
          <w:p w14:paraId="27E4494B" w14:textId="77777777" w:rsidR="00626083" w:rsidRDefault="00626083" w:rsidP="00626083">
            <w:pPr>
              <w:pStyle w:val="ListParagraph"/>
              <w:numPr>
                <w:ilvl w:val="0"/>
                <w:numId w:val="21"/>
              </w:numPr>
              <w:rPr>
                <w:rFonts w:ascii="Verdana" w:hAnsi="Verdana" w:cs="Arial"/>
              </w:rPr>
            </w:pPr>
            <w:r>
              <w:rPr>
                <w:rFonts w:ascii="Verdana" w:hAnsi="Verdana" w:cs="Arial"/>
              </w:rPr>
              <w:t>P</w:t>
            </w:r>
            <w:r w:rsidRPr="007C1EFC">
              <w:rPr>
                <w:rFonts w:ascii="Verdana" w:hAnsi="Verdana" w:cs="Arial"/>
              </w:rPr>
              <w:t>oor property condition</w:t>
            </w:r>
          </w:p>
          <w:p w14:paraId="7BDC90EB" w14:textId="77777777" w:rsidR="00626083" w:rsidRDefault="00626083" w:rsidP="00626083">
            <w:pPr>
              <w:pStyle w:val="ListParagraph"/>
              <w:numPr>
                <w:ilvl w:val="0"/>
                <w:numId w:val="21"/>
              </w:numPr>
              <w:rPr>
                <w:rFonts w:ascii="Verdana" w:hAnsi="Verdana" w:cs="Arial"/>
              </w:rPr>
            </w:pPr>
            <w:r>
              <w:rPr>
                <w:rFonts w:ascii="Verdana" w:hAnsi="Verdana" w:cs="Arial"/>
              </w:rPr>
              <w:t>D</w:t>
            </w:r>
            <w:r w:rsidRPr="007C1EFC">
              <w:rPr>
                <w:rFonts w:ascii="Verdana" w:hAnsi="Verdana" w:cs="Arial"/>
              </w:rPr>
              <w:t>amages to property</w:t>
            </w:r>
          </w:p>
          <w:p w14:paraId="57B07CEF" w14:textId="77777777" w:rsidR="00626083" w:rsidRPr="00626083" w:rsidRDefault="00626083" w:rsidP="00626083">
            <w:pPr>
              <w:pStyle w:val="ListParagraph"/>
              <w:numPr>
                <w:ilvl w:val="0"/>
                <w:numId w:val="21"/>
              </w:numPr>
              <w:rPr>
                <w:rFonts w:ascii="Verdana" w:hAnsi="Verdana" w:cs="Arial"/>
              </w:rPr>
            </w:pPr>
            <w:r>
              <w:rPr>
                <w:rFonts w:ascii="Verdana" w:hAnsi="Verdana" w:cs="Arial"/>
              </w:rPr>
              <w:t>A</w:t>
            </w:r>
            <w:r w:rsidRPr="007C1EFC">
              <w:rPr>
                <w:rFonts w:ascii="Verdana" w:hAnsi="Verdana" w:cs="Arial"/>
              </w:rPr>
              <w:t>nti-social behaviou</w:t>
            </w:r>
            <w:r>
              <w:rPr>
                <w:rFonts w:ascii="Verdana" w:hAnsi="Verdana" w:cs="Arial"/>
              </w:rPr>
              <w:t>r (ASB)</w:t>
            </w:r>
          </w:p>
          <w:p w14:paraId="28408014" w14:textId="77777777" w:rsidR="00626083" w:rsidRPr="00126029" w:rsidRDefault="00626083" w:rsidP="00E26739">
            <w:pPr>
              <w:rPr>
                <w:rFonts w:ascii="Verdana" w:hAnsi="Verdana" w:cs="Arial"/>
                <w:u w:val="single"/>
              </w:rPr>
            </w:pPr>
          </w:p>
        </w:tc>
      </w:tr>
      <w:tr w:rsidR="00E26739" w14:paraId="0EFB49EA" w14:textId="77777777" w:rsidTr="005D0574">
        <w:tc>
          <w:tcPr>
            <w:tcW w:w="796" w:type="dxa"/>
          </w:tcPr>
          <w:p w14:paraId="0C43E532" w14:textId="5403232A" w:rsidR="00E26739" w:rsidRDefault="00BF0D58" w:rsidP="00E26739">
            <w:pPr>
              <w:rPr>
                <w:rFonts w:ascii="Verdana" w:hAnsi="Verdana" w:cs="Arial"/>
              </w:rPr>
            </w:pPr>
            <w:r>
              <w:rPr>
                <w:rFonts w:ascii="Verdana" w:hAnsi="Verdana" w:cs="Arial"/>
              </w:rPr>
              <w:t>7.3.</w:t>
            </w:r>
          </w:p>
        </w:tc>
        <w:tc>
          <w:tcPr>
            <w:tcW w:w="8554" w:type="dxa"/>
          </w:tcPr>
          <w:p w14:paraId="037C5F81" w14:textId="77777777" w:rsidR="00626083" w:rsidRDefault="00626083" w:rsidP="00626083">
            <w:pPr>
              <w:rPr>
                <w:rFonts w:ascii="Verdana" w:hAnsi="Verdana" w:cs="Arial"/>
              </w:rPr>
            </w:pPr>
            <w:r w:rsidRPr="0030238A">
              <w:rPr>
                <w:rFonts w:ascii="Verdana" w:hAnsi="Verdana" w:cs="Arial"/>
              </w:rPr>
              <w:t xml:space="preserve">The mutual exchange will not proceed until the tenancy breaches have been resolved. </w:t>
            </w:r>
            <w:r>
              <w:rPr>
                <w:rFonts w:ascii="Verdana" w:hAnsi="Verdana" w:cs="Arial"/>
              </w:rPr>
              <w:t xml:space="preserve">Tenants will be given 21 days to remedy any breaches. Any tenants failing to remedy any breaches within this timeframe will result in the mutual exchange being refused. </w:t>
            </w:r>
          </w:p>
          <w:p w14:paraId="23BC6F01" w14:textId="002A11CA" w:rsidR="00E26739" w:rsidRPr="00A1459F" w:rsidRDefault="00E26739" w:rsidP="00626083">
            <w:pPr>
              <w:rPr>
                <w:rFonts w:ascii="Verdana" w:hAnsi="Verdana" w:cs="Arial"/>
              </w:rPr>
            </w:pPr>
          </w:p>
        </w:tc>
      </w:tr>
      <w:tr w:rsidR="00626083" w14:paraId="6993D731" w14:textId="77777777" w:rsidTr="005D0574">
        <w:tc>
          <w:tcPr>
            <w:tcW w:w="796" w:type="dxa"/>
          </w:tcPr>
          <w:p w14:paraId="636D577F" w14:textId="6A2B4AF6" w:rsidR="00626083" w:rsidRDefault="00BF0D58" w:rsidP="00E26739">
            <w:pPr>
              <w:rPr>
                <w:rFonts w:ascii="Verdana" w:hAnsi="Verdana" w:cs="Arial"/>
              </w:rPr>
            </w:pPr>
            <w:r>
              <w:rPr>
                <w:rFonts w:ascii="Verdana" w:hAnsi="Verdana" w:cs="Arial"/>
              </w:rPr>
              <w:t>7.4.</w:t>
            </w:r>
          </w:p>
        </w:tc>
        <w:tc>
          <w:tcPr>
            <w:tcW w:w="8554" w:type="dxa"/>
          </w:tcPr>
          <w:p w14:paraId="173033CF" w14:textId="77777777" w:rsidR="00626083" w:rsidRDefault="00626083" w:rsidP="00626083">
            <w:pPr>
              <w:rPr>
                <w:rFonts w:ascii="Verdana" w:hAnsi="Verdana" w:cs="Arial"/>
              </w:rPr>
            </w:pPr>
            <w:r>
              <w:rPr>
                <w:rFonts w:ascii="Verdana" w:hAnsi="Verdana" w:cs="Arial"/>
              </w:rPr>
              <w:t xml:space="preserve">The Landlord Services Team will complete a 6-week follow up visit at the new tenant’s property, to ensure the exchange was completed satisfactorily and to discuss any concerns with the tenants rent account, tenancy breaches, or support needs. </w:t>
            </w:r>
          </w:p>
          <w:p w14:paraId="74C2A07D" w14:textId="77777777" w:rsidR="00626083" w:rsidRDefault="00626083" w:rsidP="00E26739">
            <w:pPr>
              <w:rPr>
                <w:rFonts w:ascii="Verdana" w:hAnsi="Verdana" w:cs="Arial"/>
              </w:rPr>
            </w:pPr>
          </w:p>
        </w:tc>
      </w:tr>
      <w:tr w:rsidR="00FA5287" w14:paraId="6E364082" w14:textId="77777777" w:rsidTr="005D0574">
        <w:tc>
          <w:tcPr>
            <w:tcW w:w="796" w:type="dxa"/>
          </w:tcPr>
          <w:p w14:paraId="7A818BE0" w14:textId="77777777" w:rsidR="00FA5287" w:rsidRDefault="00FA5287" w:rsidP="00E26739">
            <w:pPr>
              <w:rPr>
                <w:rFonts w:ascii="Verdana" w:hAnsi="Verdana" w:cs="Arial"/>
              </w:rPr>
            </w:pPr>
          </w:p>
        </w:tc>
        <w:tc>
          <w:tcPr>
            <w:tcW w:w="8554" w:type="dxa"/>
          </w:tcPr>
          <w:p w14:paraId="56E01945" w14:textId="61B0350D" w:rsidR="00FA5287" w:rsidRPr="00FA5287" w:rsidRDefault="00FA5287" w:rsidP="00E26739">
            <w:pPr>
              <w:rPr>
                <w:rFonts w:ascii="Verdana" w:hAnsi="Verdana" w:cs="Arial"/>
                <w:b/>
                <w:bCs/>
              </w:rPr>
            </w:pPr>
            <w:r w:rsidRPr="00FA5287">
              <w:rPr>
                <w:rFonts w:ascii="Verdana" w:hAnsi="Verdana" w:cs="Arial"/>
                <w:b/>
                <w:bCs/>
              </w:rPr>
              <w:t xml:space="preserve">Indemnity </w:t>
            </w:r>
          </w:p>
        </w:tc>
      </w:tr>
      <w:tr w:rsidR="00FA5287" w14:paraId="4E97D4A4" w14:textId="77777777" w:rsidTr="005D0574">
        <w:tc>
          <w:tcPr>
            <w:tcW w:w="796" w:type="dxa"/>
          </w:tcPr>
          <w:p w14:paraId="05F917D3" w14:textId="335CD321" w:rsidR="00FA5287" w:rsidRDefault="00BF0D58" w:rsidP="00E26739">
            <w:pPr>
              <w:rPr>
                <w:rFonts w:ascii="Verdana" w:hAnsi="Verdana" w:cs="Arial"/>
              </w:rPr>
            </w:pPr>
            <w:r>
              <w:rPr>
                <w:rFonts w:ascii="Verdana" w:hAnsi="Verdana" w:cs="Arial"/>
              </w:rPr>
              <w:t>7.5.</w:t>
            </w:r>
          </w:p>
        </w:tc>
        <w:tc>
          <w:tcPr>
            <w:tcW w:w="8554" w:type="dxa"/>
          </w:tcPr>
          <w:p w14:paraId="46E9C2ED" w14:textId="77777777" w:rsidR="00FA5287" w:rsidRPr="000114A9" w:rsidRDefault="00FA5287" w:rsidP="00E26739">
            <w:pPr>
              <w:rPr>
                <w:rFonts w:ascii="Verdana" w:hAnsi="Verdana" w:cs="Arial"/>
              </w:rPr>
            </w:pPr>
            <w:r w:rsidRPr="000114A9">
              <w:rPr>
                <w:rFonts w:ascii="Verdana" w:hAnsi="Verdana" w:cs="Arial"/>
              </w:rPr>
              <w:t>The property inspection form will be signed by the Tenancy Management Officer, Inspector and existing tenant(s). A copy will be provided to the existing tenant and proposed incoming tenant.</w:t>
            </w:r>
          </w:p>
          <w:p w14:paraId="281D71D4" w14:textId="77777777" w:rsidR="00FA5287" w:rsidRPr="000114A9" w:rsidRDefault="00FA5287" w:rsidP="00E26739">
            <w:pPr>
              <w:rPr>
                <w:rFonts w:ascii="Verdana" w:hAnsi="Verdana" w:cs="Arial"/>
              </w:rPr>
            </w:pPr>
          </w:p>
          <w:p w14:paraId="4B135DA7" w14:textId="027D0F7C" w:rsidR="000114A9" w:rsidRDefault="00FA5287" w:rsidP="00E26739">
            <w:pPr>
              <w:rPr>
                <w:rFonts w:ascii="Verdana" w:hAnsi="Verdana" w:cs="Arial"/>
              </w:rPr>
            </w:pPr>
            <w:r w:rsidRPr="000114A9">
              <w:rPr>
                <w:rFonts w:ascii="Verdana" w:hAnsi="Verdana" w:cs="Arial"/>
              </w:rPr>
              <w:t xml:space="preserve">If there are any non-Council standard elements to the property, the incoming tenant must accept full responsibility for these. </w:t>
            </w:r>
            <w:r w:rsidR="000114A9">
              <w:rPr>
                <w:rFonts w:ascii="Verdana" w:hAnsi="Verdana" w:cs="Arial"/>
              </w:rPr>
              <w:t>An Indemnity Form will be issued to the incoming tenant which they will sign to accept. A copy will also be issued to the outgoing tenant. This Indemnity form absolves the Council for any liability for the items listed within.</w:t>
            </w:r>
          </w:p>
          <w:p w14:paraId="39334410" w14:textId="77777777" w:rsidR="000114A9" w:rsidRDefault="000114A9" w:rsidP="00E26739">
            <w:pPr>
              <w:rPr>
                <w:rFonts w:ascii="Verdana" w:hAnsi="Verdana" w:cs="Arial"/>
              </w:rPr>
            </w:pPr>
          </w:p>
          <w:p w14:paraId="094C78B8" w14:textId="40FCB186" w:rsidR="00FA5287" w:rsidRPr="000114A9" w:rsidRDefault="00FA5287" w:rsidP="00E26739">
            <w:pPr>
              <w:rPr>
                <w:rFonts w:ascii="Verdana" w:hAnsi="Verdana" w:cs="Arial"/>
              </w:rPr>
            </w:pPr>
            <w:r w:rsidRPr="000114A9">
              <w:rPr>
                <w:rFonts w:ascii="Verdana" w:hAnsi="Verdana" w:cs="Arial"/>
              </w:rPr>
              <w:t>The Council will not repair, replace or maintain any non-Council standard items or any defects to Council standard items that have not been caused by normal wear and tear.</w:t>
            </w:r>
            <w:r w:rsidR="000114A9">
              <w:rPr>
                <w:rFonts w:ascii="Verdana" w:hAnsi="Verdana" w:cs="Arial"/>
              </w:rPr>
              <w:t xml:space="preserve"> If we need to repair or replace any items, this is a rechargeable service to the previous tenant, the new tenant or both.</w:t>
            </w:r>
          </w:p>
          <w:p w14:paraId="3DFFD31B" w14:textId="77777777" w:rsidR="00FA5287" w:rsidRPr="000114A9" w:rsidRDefault="00FA5287" w:rsidP="00E26739">
            <w:pPr>
              <w:rPr>
                <w:rFonts w:ascii="Verdana" w:hAnsi="Verdana" w:cs="Arial"/>
              </w:rPr>
            </w:pPr>
          </w:p>
          <w:p w14:paraId="09A26542" w14:textId="4FDC0665" w:rsidR="00FA5287" w:rsidRDefault="00FA5287" w:rsidP="00E26739">
            <w:pPr>
              <w:rPr>
                <w:rFonts w:ascii="Verdana" w:hAnsi="Verdana" w:cs="Arial"/>
              </w:rPr>
            </w:pPr>
            <w:r w:rsidRPr="000114A9">
              <w:rPr>
                <w:rFonts w:ascii="Verdana" w:hAnsi="Verdana" w:cs="Arial"/>
              </w:rPr>
              <w:t>Tenants still have</w:t>
            </w:r>
            <w:r w:rsidR="00B41021">
              <w:rPr>
                <w:rFonts w:ascii="Verdana" w:hAnsi="Verdana" w:cs="Arial"/>
              </w:rPr>
              <w:t xml:space="preserve"> access to</w:t>
            </w:r>
            <w:r w:rsidRPr="000114A9">
              <w:rPr>
                <w:rFonts w:ascii="Verdana" w:hAnsi="Verdana" w:cs="Arial"/>
              </w:rPr>
              <w:t xml:space="preserve"> the Right to Repair</w:t>
            </w:r>
            <w:r w:rsidR="000114A9" w:rsidRPr="000114A9">
              <w:rPr>
                <w:rFonts w:ascii="Verdana" w:hAnsi="Verdana" w:cs="Arial"/>
              </w:rPr>
              <w:t xml:space="preserve"> </w:t>
            </w:r>
            <w:r w:rsidR="000114A9">
              <w:rPr>
                <w:rFonts w:ascii="Verdana" w:hAnsi="Verdana" w:cs="Arial"/>
              </w:rPr>
              <w:t>Scheme.</w:t>
            </w:r>
          </w:p>
          <w:p w14:paraId="64407469" w14:textId="77777777" w:rsidR="000114A9" w:rsidRDefault="000114A9" w:rsidP="00E26739">
            <w:pPr>
              <w:rPr>
                <w:rFonts w:ascii="Verdana" w:hAnsi="Verdana" w:cs="Arial"/>
              </w:rPr>
            </w:pPr>
          </w:p>
          <w:p w14:paraId="0E13C624" w14:textId="282C4CF9" w:rsidR="000114A9" w:rsidRDefault="000114A9" w:rsidP="00E26739">
            <w:pPr>
              <w:rPr>
                <w:rFonts w:ascii="Verdana" w:hAnsi="Verdana" w:cs="Arial"/>
              </w:rPr>
            </w:pPr>
            <w:r>
              <w:rPr>
                <w:rFonts w:ascii="Verdana" w:hAnsi="Verdana" w:cs="Arial"/>
              </w:rPr>
              <w:lastRenderedPageBreak/>
              <w:t>Council Standard items may include (excluding any elements altered by tenants):</w:t>
            </w:r>
          </w:p>
          <w:p w14:paraId="6EB0973F" w14:textId="77777777" w:rsidR="000114A9" w:rsidRDefault="000114A9" w:rsidP="00E26739">
            <w:pPr>
              <w:rPr>
                <w:rFonts w:ascii="Verdana" w:hAnsi="Verdana" w:cs="Arial"/>
              </w:rPr>
            </w:pPr>
          </w:p>
          <w:p w14:paraId="36AEF0A8" w14:textId="1DCCF689" w:rsidR="000114A9" w:rsidRDefault="000114A9" w:rsidP="000114A9">
            <w:pPr>
              <w:pStyle w:val="ListParagraph"/>
              <w:numPr>
                <w:ilvl w:val="0"/>
                <w:numId w:val="24"/>
              </w:numPr>
              <w:rPr>
                <w:rFonts w:ascii="Verdana" w:hAnsi="Verdana" w:cs="Arial"/>
              </w:rPr>
            </w:pPr>
            <w:r>
              <w:rPr>
                <w:rFonts w:ascii="Verdana" w:hAnsi="Verdana" w:cs="Arial"/>
              </w:rPr>
              <w:t>Windows</w:t>
            </w:r>
          </w:p>
          <w:p w14:paraId="0D7BD169" w14:textId="5BCE2516" w:rsidR="000114A9" w:rsidRDefault="000114A9" w:rsidP="000114A9">
            <w:pPr>
              <w:pStyle w:val="ListParagraph"/>
              <w:numPr>
                <w:ilvl w:val="0"/>
                <w:numId w:val="24"/>
              </w:numPr>
              <w:rPr>
                <w:rFonts w:ascii="Verdana" w:hAnsi="Verdana" w:cs="Arial"/>
              </w:rPr>
            </w:pPr>
            <w:r>
              <w:rPr>
                <w:rFonts w:ascii="Verdana" w:hAnsi="Verdana" w:cs="Arial"/>
              </w:rPr>
              <w:t>Fire doors</w:t>
            </w:r>
          </w:p>
          <w:p w14:paraId="3649DFD6" w14:textId="0E9D44DC" w:rsidR="000114A9" w:rsidRDefault="000114A9" w:rsidP="000114A9">
            <w:pPr>
              <w:pStyle w:val="ListParagraph"/>
              <w:numPr>
                <w:ilvl w:val="0"/>
                <w:numId w:val="24"/>
              </w:numPr>
              <w:rPr>
                <w:rFonts w:ascii="Verdana" w:hAnsi="Verdana" w:cs="Arial"/>
              </w:rPr>
            </w:pPr>
            <w:r>
              <w:rPr>
                <w:rFonts w:ascii="Verdana" w:hAnsi="Verdana" w:cs="Arial"/>
              </w:rPr>
              <w:t>Kitchens</w:t>
            </w:r>
          </w:p>
          <w:p w14:paraId="3CBE1E66" w14:textId="50C5C3CE" w:rsidR="000114A9" w:rsidRDefault="000114A9" w:rsidP="000114A9">
            <w:pPr>
              <w:pStyle w:val="ListParagraph"/>
              <w:numPr>
                <w:ilvl w:val="0"/>
                <w:numId w:val="24"/>
              </w:numPr>
              <w:rPr>
                <w:rFonts w:ascii="Verdana" w:hAnsi="Verdana" w:cs="Arial"/>
              </w:rPr>
            </w:pPr>
            <w:r>
              <w:rPr>
                <w:rFonts w:ascii="Verdana" w:hAnsi="Verdana" w:cs="Arial"/>
              </w:rPr>
              <w:t>Bathrooms</w:t>
            </w:r>
          </w:p>
          <w:p w14:paraId="485220E7" w14:textId="6C3C4DC6" w:rsidR="000114A9" w:rsidRDefault="000114A9" w:rsidP="000114A9">
            <w:pPr>
              <w:pStyle w:val="ListParagraph"/>
              <w:numPr>
                <w:ilvl w:val="0"/>
                <w:numId w:val="24"/>
              </w:numPr>
              <w:rPr>
                <w:rFonts w:ascii="Verdana" w:hAnsi="Verdana" w:cs="Arial"/>
              </w:rPr>
            </w:pPr>
            <w:r>
              <w:rPr>
                <w:rFonts w:ascii="Verdana" w:hAnsi="Verdana" w:cs="Arial"/>
              </w:rPr>
              <w:t>Heating and hot water provisions</w:t>
            </w:r>
          </w:p>
          <w:p w14:paraId="3DEDAD7B" w14:textId="243BF406" w:rsidR="000114A9" w:rsidRDefault="000114A9" w:rsidP="000114A9">
            <w:pPr>
              <w:pStyle w:val="ListParagraph"/>
              <w:numPr>
                <w:ilvl w:val="0"/>
                <w:numId w:val="24"/>
              </w:numPr>
              <w:rPr>
                <w:rFonts w:ascii="Verdana" w:hAnsi="Verdana" w:cs="Arial"/>
              </w:rPr>
            </w:pPr>
            <w:r>
              <w:rPr>
                <w:rFonts w:ascii="Verdana" w:hAnsi="Verdana" w:cs="Arial"/>
              </w:rPr>
              <w:t>Electrical elements</w:t>
            </w:r>
          </w:p>
          <w:p w14:paraId="3A04F387" w14:textId="51E4B80F" w:rsidR="00B41021" w:rsidRDefault="00B41021" w:rsidP="000114A9">
            <w:pPr>
              <w:pStyle w:val="ListParagraph"/>
              <w:numPr>
                <w:ilvl w:val="0"/>
                <w:numId w:val="24"/>
              </w:numPr>
              <w:rPr>
                <w:rFonts w:ascii="Verdana" w:hAnsi="Verdana" w:cs="Arial"/>
              </w:rPr>
            </w:pPr>
            <w:r>
              <w:rPr>
                <w:rFonts w:ascii="Verdana" w:hAnsi="Verdana" w:cs="Arial"/>
              </w:rPr>
              <w:t>Roof</w:t>
            </w:r>
          </w:p>
          <w:p w14:paraId="3B55C91B" w14:textId="0DEF960B" w:rsidR="00B41021" w:rsidRDefault="00B41021" w:rsidP="000114A9">
            <w:pPr>
              <w:pStyle w:val="ListParagraph"/>
              <w:numPr>
                <w:ilvl w:val="0"/>
                <w:numId w:val="24"/>
              </w:numPr>
              <w:rPr>
                <w:rFonts w:ascii="Verdana" w:hAnsi="Verdana" w:cs="Arial"/>
              </w:rPr>
            </w:pPr>
            <w:r>
              <w:rPr>
                <w:rFonts w:ascii="Verdana" w:hAnsi="Verdana" w:cs="Arial"/>
              </w:rPr>
              <w:t>Water supply</w:t>
            </w:r>
          </w:p>
          <w:p w14:paraId="45DA144C" w14:textId="41B34547" w:rsidR="000114A9" w:rsidRPr="000114A9" w:rsidRDefault="000114A9" w:rsidP="000114A9">
            <w:pPr>
              <w:pStyle w:val="ListParagraph"/>
              <w:numPr>
                <w:ilvl w:val="0"/>
                <w:numId w:val="24"/>
              </w:numPr>
              <w:rPr>
                <w:rFonts w:ascii="Verdana" w:hAnsi="Verdana" w:cs="Arial"/>
              </w:rPr>
            </w:pPr>
            <w:r>
              <w:rPr>
                <w:rFonts w:ascii="Verdana" w:hAnsi="Verdana" w:cs="Arial"/>
              </w:rPr>
              <w:t>Council installed adaptations</w:t>
            </w:r>
          </w:p>
          <w:p w14:paraId="1C148439" w14:textId="77777777" w:rsidR="000114A9" w:rsidRDefault="000114A9" w:rsidP="00E26739">
            <w:pPr>
              <w:rPr>
                <w:rFonts w:ascii="Verdana" w:hAnsi="Verdana" w:cs="Arial"/>
                <w:b/>
                <w:bCs/>
              </w:rPr>
            </w:pPr>
          </w:p>
          <w:p w14:paraId="0C577F85" w14:textId="12BA8AF4" w:rsidR="00B41021" w:rsidRPr="00B41021" w:rsidRDefault="00B41021" w:rsidP="00E26739">
            <w:pPr>
              <w:rPr>
                <w:rFonts w:ascii="Verdana" w:hAnsi="Verdana" w:cs="Arial"/>
              </w:rPr>
            </w:pPr>
            <w:r w:rsidRPr="00B41021">
              <w:rPr>
                <w:rFonts w:ascii="Verdana" w:hAnsi="Verdana" w:cs="Arial"/>
              </w:rPr>
              <w:t>If any Council standard elements are removed or damaged, we will replace these, but our costs will be recharged to the party who removed/damaged the elements.</w:t>
            </w:r>
          </w:p>
          <w:p w14:paraId="3DCE7A2C" w14:textId="77777777" w:rsidR="00B41021" w:rsidRDefault="00B41021" w:rsidP="00E26739">
            <w:pPr>
              <w:rPr>
                <w:rFonts w:ascii="Verdana" w:hAnsi="Verdana" w:cs="Arial"/>
                <w:b/>
                <w:bCs/>
              </w:rPr>
            </w:pPr>
          </w:p>
          <w:p w14:paraId="3D480463" w14:textId="26228E34" w:rsidR="000114A9" w:rsidRPr="000114A9" w:rsidRDefault="000114A9" w:rsidP="00E26739">
            <w:pPr>
              <w:rPr>
                <w:rFonts w:ascii="Verdana" w:hAnsi="Verdana" w:cs="Arial"/>
              </w:rPr>
            </w:pPr>
            <w:r w:rsidRPr="000114A9">
              <w:rPr>
                <w:rFonts w:ascii="Verdana" w:hAnsi="Verdana" w:cs="Arial"/>
              </w:rPr>
              <w:t>Non-Council Standard items include</w:t>
            </w:r>
            <w:r>
              <w:rPr>
                <w:rFonts w:ascii="Verdana" w:hAnsi="Verdana" w:cs="Arial"/>
              </w:rPr>
              <w:t xml:space="preserve"> those not covered by the Right to Repair scheme and are</w:t>
            </w:r>
            <w:r w:rsidRPr="000114A9">
              <w:rPr>
                <w:rFonts w:ascii="Verdana" w:hAnsi="Verdana" w:cs="Arial"/>
              </w:rPr>
              <w:t>:</w:t>
            </w:r>
          </w:p>
          <w:p w14:paraId="56B5F05B" w14:textId="77777777" w:rsidR="000114A9" w:rsidRPr="000114A9" w:rsidRDefault="000114A9" w:rsidP="00E26739">
            <w:pPr>
              <w:rPr>
                <w:rFonts w:ascii="Verdana" w:hAnsi="Verdana" w:cs="Arial"/>
              </w:rPr>
            </w:pPr>
          </w:p>
          <w:p w14:paraId="5CD6984E" w14:textId="77777777" w:rsidR="000114A9" w:rsidRPr="000114A9" w:rsidRDefault="000114A9" w:rsidP="000114A9">
            <w:pPr>
              <w:pStyle w:val="ListParagraph"/>
              <w:numPr>
                <w:ilvl w:val="0"/>
                <w:numId w:val="23"/>
              </w:numPr>
              <w:rPr>
                <w:rFonts w:ascii="Verdana" w:hAnsi="Verdana" w:cs="Arial"/>
                <w:b/>
                <w:bCs/>
              </w:rPr>
            </w:pPr>
            <w:r w:rsidRPr="000114A9">
              <w:rPr>
                <w:rFonts w:ascii="Verdana" w:hAnsi="Verdana" w:cs="Arial"/>
              </w:rPr>
              <w:t>Floor coverings and any underlay</w:t>
            </w:r>
          </w:p>
          <w:p w14:paraId="1561AB4B" w14:textId="77777777" w:rsidR="000114A9" w:rsidRDefault="000114A9" w:rsidP="000114A9">
            <w:pPr>
              <w:pStyle w:val="ListParagraph"/>
              <w:numPr>
                <w:ilvl w:val="0"/>
                <w:numId w:val="23"/>
              </w:numPr>
              <w:rPr>
                <w:rFonts w:ascii="Verdana" w:hAnsi="Verdana" w:cs="Arial"/>
              </w:rPr>
            </w:pPr>
            <w:r w:rsidRPr="000114A9">
              <w:rPr>
                <w:rFonts w:ascii="Verdana" w:hAnsi="Verdana" w:cs="Arial"/>
              </w:rPr>
              <w:t>Window coverings</w:t>
            </w:r>
          </w:p>
          <w:p w14:paraId="37171B4A" w14:textId="5277CFCB" w:rsidR="000114A9" w:rsidRDefault="000114A9" w:rsidP="000114A9">
            <w:pPr>
              <w:pStyle w:val="ListParagraph"/>
              <w:numPr>
                <w:ilvl w:val="0"/>
                <w:numId w:val="23"/>
              </w:numPr>
              <w:rPr>
                <w:rFonts w:ascii="Verdana" w:hAnsi="Verdana" w:cs="Arial"/>
              </w:rPr>
            </w:pPr>
            <w:r>
              <w:rPr>
                <w:rFonts w:ascii="Verdana" w:hAnsi="Verdana" w:cs="Arial"/>
              </w:rPr>
              <w:t xml:space="preserve">Decoration </w:t>
            </w:r>
          </w:p>
          <w:p w14:paraId="5045ED85" w14:textId="09DCD054" w:rsidR="00B41021" w:rsidRPr="000114A9" w:rsidRDefault="00B41021" w:rsidP="000114A9">
            <w:pPr>
              <w:pStyle w:val="ListParagraph"/>
              <w:numPr>
                <w:ilvl w:val="0"/>
                <w:numId w:val="23"/>
              </w:numPr>
              <w:rPr>
                <w:rFonts w:ascii="Verdana" w:hAnsi="Verdana" w:cs="Arial"/>
              </w:rPr>
            </w:pPr>
            <w:r>
              <w:rPr>
                <w:rFonts w:ascii="Verdana" w:hAnsi="Verdana" w:cs="Arial"/>
              </w:rPr>
              <w:t>Outbuildings, e.g. sheds, greenhouses</w:t>
            </w:r>
          </w:p>
          <w:p w14:paraId="2AA5DA3D" w14:textId="77777777" w:rsidR="000114A9" w:rsidRPr="00B41021" w:rsidRDefault="000114A9" w:rsidP="000114A9">
            <w:pPr>
              <w:pStyle w:val="ListParagraph"/>
              <w:numPr>
                <w:ilvl w:val="0"/>
                <w:numId w:val="23"/>
              </w:numPr>
              <w:rPr>
                <w:rFonts w:ascii="Verdana" w:hAnsi="Verdana" w:cs="Arial"/>
                <w:b/>
                <w:bCs/>
              </w:rPr>
            </w:pPr>
            <w:r>
              <w:rPr>
                <w:rFonts w:ascii="Verdana" w:hAnsi="Verdana" w:cs="Arial"/>
              </w:rPr>
              <w:t>All other t</w:t>
            </w:r>
            <w:r w:rsidRPr="000114A9">
              <w:rPr>
                <w:rFonts w:ascii="Verdana" w:hAnsi="Verdana" w:cs="Arial"/>
              </w:rPr>
              <w:t>enant alterations</w:t>
            </w:r>
          </w:p>
          <w:p w14:paraId="0F27F10E" w14:textId="77777777" w:rsidR="00B41021" w:rsidRPr="00B41021" w:rsidRDefault="00B41021" w:rsidP="000114A9">
            <w:pPr>
              <w:pStyle w:val="ListParagraph"/>
              <w:numPr>
                <w:ilvl w:val="0"/>
                <w:numId w:val="23"/>
              </w:numPr>
              <w:rPr>
                <w:rFonts w:ascii="Verdana" w:hAnsi="Verdana" w:cs="Arial"/>
              </w:rPr>
            </w:pPr>
            <w:r w:rsidRPr="00B41021">
              <w:rPr>
                <w:rFonts w:ascii="Verdana" w:hAnsi="Verdana" w:cs="Arial"/>
              </w:rPr>
              <w:t>Items left by the outgoing tenant</w:t>
            </w:r>
          </w:p>
          <w:p w14:paraId="0389DA70" w14:textId="77777777" w:rsidR="00B41021" w:rsidRPr="00B41021" w:rsidRDefault="00B41021" w:rsidP="000114A9">
            <w:pPr>
              <w:pStyle w:val="ListParagraph"/>
              <w:numPr>
                <w:ilvl w:val="0"/>
                <w:numId w:val="23"/>
              </w:numPr>
              <w:rPr>
                <w:rFonts w:ascii="Verdana" w:hAnsi="Verdana" w:cs="Arial"/>
                <w:b/>
                <w:bCs/>
              </w:rPr>
            </w:pPr>
            <w:r w:rsidRPr="00B41021">
              <w:rPr>
                <w:rFonts w:ascii="Verdana" w:hAnsi="Verdana" w:cs="Arial"/>
              </w:rPr>
              <w:t>Damage caused by moving out/in</w:t>
            </w:r>
          </w:p>
          <w:p w14:paraId="2BF38D2D" w14:textId="77777777" w:rsidR="00B41021" w:rsidRPr="00626083" w:rsidRDefault="00B41021" w:rsidP="000114A9">
            <w:pPr>
              <w:pStyle w:val="ListParagraph"/>
              <w:numPr>
                <w:ilvl w:val="0"/>
                <w:numId w:val="23"/>
              </w:numPr>
              <w:rPr>
                <w:rFonts w:ascii="Verdana" w:hAnsi="Verdana" w:cs="Arial"/>
                <w:b/>
                <w:bCs/>
              </w:rPr>
            </w:pPr>
            <w:r>
              <w:rPr>
                <w:rFonts w:ascii="Verdana" w:hAnsi="Verdana" w:cs="Arial"/>
              </w:rPr>
              <w:t>Damage caused at any stage via animals to any element</w:t>
            </w:r>
          </w:p>
          <w:p w14:paraId="4013B1C6" w14:textId="5BF3B9B4" w:rsidR="00626083" w:rsidRPr="000114A9" w:rsidRDefault="00626083" w:rsidP="00626083">
            <w:pPr>
              <w:pStyle w:val="ListParagraph"/>
              <w:rPr>
                <w:rFonts w:ascii="Verdana" w:hAnsi="Verdana" w:cs="Arial"/>
                <w:b/>
                <w:bCs/>
              </w:rPr>
            </w:pPr>
          </w:p>
        </w:tc>
      </w:tr>
      <w:tr w:rsidR="00626083" w14:paraId="5D0E6D27" w14:textId="77777777" w:rsidTr="005D0574">
        <w:tc>
          <w:tcPr>
            <w:tcW w:w="796" w:type="dxa"/>
          </w:tcPr>
          <w:p w14:paraId="76D2B8AC" w14:textId="77777777" w:rsidR="00626083" w:rsidRDefault="00626083" w:rsidP="00E26739">
            <w:pPr>
              <w:rPr>
                <w:rFonts w:ascii="Verdana" w:hAnsi="Verdana" w:cs="Arial"/>
              </w:rPr>
            </w:pPr>
          </w:p>
        </w:tc>
        <w:tc>
          <w:tcPr>
            <w:tcW w:w="8554" w:type="dxa"/>
          </w:tcPr>
          <w:p w14:paraId="0D039241" w14:textId="5024739D" w:rsidR="00626083" w:rsidRPr="00C32CF7" w:rsidRDefault="00C32CF7" w:rsidP="00E26739">
            <w:pPr>
              <w:rPr>
                <w:rFonts w:ascii="Verdana" w:hAnsi="Verdana" w:cs="Arial"/>
                <w:b/>
                <w:bCs/>
              </w:rPr>
            </w:pPr>
            <w:r w:rsidRPr="00C32CF7">
              <w:rPr>
                <w:rFonts w:ascii="Verdana" w:hAnsi="Verdana" w:cs="Arial"/>
                <w:b/>
                <w:bCs/>
              </w:rPr>
              <w:t>Affordability</w:t>
            </w:r>
          </w:p>
        </w:tc>
      </w:tr>
      <w:tr w:rsidR="00626083" w14:paraId="0C7E30B4" w14:textId="77777777" w:rsidTr="005D0574">
        <w:tc>
          <w:tcPr>
            <w:tcW w:w="796" w:type="dxa"/>
          </w:tcPr>
          <w:p w14:paraId="1A225556" w14:textId="3E7E47EB" w:rsidR="00626083" w:rsidRDefault="00BF0D58" w:rsidP="00E26739">
            <w:pPr>
              <w:rPr>
                <w:rFonts w:ascii="Verdana" w:hAnsi="Verdana" w:cs="Arial"/>
              </w:rPr>
            </w:pPr>
            <w:r>
              <w:rPr>
                <w:rFonts w:ascii="Verdana" w:hAnsi="Verdana" w:cs="Arial"/>
              </w:rPr>
              <w:t>7.6.</w:t>
            </w:r>
          </w:p>
        </w:tc>
        <w:tc>
          <w:tcPr>
            <w:tcW w:w="8554" w:type="dxa"/>
          </w:tcPr>
          <w:p w14:paraId="12E7EC9C" w14:textId="74E04B0D" w:rsidR="00626083" w:rsidRDefault="00C32CF7" w:rsidP="00E26739">
            <w:pPr>
              <w:rPr>
                <w:rFonts w:ascii="Verdana" w:hAnsi="Verdana" w:cs="Arial"/>
              </w:rPr>
            </w:pPr>
            <w:r>
              <w:rPr>
                <w:rFonts w:ascii="Verdana" w:hAnsi="Verdana" w:cs="Arial"/>
              </w:rPr>
              <w:t xml:space="preserve">Some tenants aged 18 – 24 years may be impacted by reductions in benefit levels that assist with housing costs. The Council recognise that for Tenancy Agreements where Schedule 3 of the Housing Act 1985 or Schedule 14 of the Localism Act 2011 apply, we are only able to refuse a mutual exchange on specific grounds – affordability if not included in these grounds. </w:t>
            </w:r>
          </w:p>
          <w:p w14:paraId="323092D8" w14:textId="172C5A77" w:rsidR="00C32CF7" w:rsidRPr="000114A9" w:rsidRDefault="00C32CF7" w:rsidP="00E26739">
            <w:pPr>
              <w:rPr>
                <w:rFonts w:ascii="Verdana" w:hAnsi="Verdana" w:cs="Arial"/>
              </w:rPr>
            </w:pPr>
          </w:p>
        </w:tc>
      </w:tr>
      <w:tr w:rsidR="00626083" w14:paraId="51C3F121" w14:textId="77777777" w:rsidTr="005D0574">
        <w:tc>
          <w:tcPr>
            <w:tcW w:w="796" w:type="dxa"/>
          </w:tcPr>
          <w:p w14:paraId="0C819F7F" w14:textId="46F858D2" w:rsidR="00626083" w:rsidRDefault="00BF0D58" w:rsidP="00E26739">
            <w:pPr>
              <w:rPr>
                <w:rFonts w:ascii="Verdana" w:hAnsi="Verdana" w:cs="Arial"/>
              </w:rPr>
            </w:pPr>
            <w:r>
              <w:rPr>
                <w:rFonts w:ascii="Verdana" w:hAnsi="Verdana" w:cs="Arial"/>
              </w:rPr>
              <w:t>7.7.</w:t>
            </w:r>
          </w:p>
        </w:tc>
        <w:tc>
          <w:tcPr>
            <w:tcW w:w="8554" w:type="dxa"/>
          </w:tcPr>
          <w:p w14:paraId="2D161B3E" w14:textId="77777777" w:rsidR="00626083" w:rsidRDefault="00C32CF7" w:rsidP="00E26739">
            <w:pPr>
              <w:rPr>
                <w:rFonts w:ascii="Verdana" w:hAnsi="Verdana" w:cs="Arial"/>
              </w:rPr>
            </w:pPr>
            <w:r>
              <w:rPr>
                <w:rFonts w:ascii="Verdana" w:hAnsi="Verdana" w:cs="Arial"/>
              </w:rPr>
              <w:t xml:space="preserve">The Tenancy Management Officer will discuss affordability and complete a financial statement with tenants wishing to complete a mutual exchange, to ensure they are able to afford their proposed rent amount. The Tenancy Management Officer will also discuss what happens if the tenant is unable to pay their rent, so the tenant can make an informed decision on whether to proceed with the mutual exchange. </w:t>
            </w:r>
          </w:p>
          <w:p w14:paraId="63D0867A" w14:textId="65B8A80D" w:rsidR="00C32CF7" w:rsidRPr="000114A9" w:rsidRDefault="00C32CF7" w:rsidP="00E26739">
            <w:pPr>
              <w:rPr>
                <w:rFonts w:ascii="Verdana" w:hAnsi="Verdana" w:cs="Arial"/>
              </w:rPr>
            </w:pPr>
          </w:p>
        </w:tc>
      </w:tr>
      <w:tr w:rsidR="00626083" w14:paraId="3122C5CC" w14:textId="77777777" w:rsidTr="005D0574">
        <w:tc>
          <w:tcPr>
            <w:tcW w:w="796" w:type="dxa"/>
          </w:tcPr>
          <w:p w14:paraId="12952D9F" w14:textId="77777777" w:rsidR="00626083" w:rsidRDefault="00626083" w:rsidP="00E26739">
            <w:pPr>
              <w:rPr>
                <w:rFonts w:ascii="Verdana" w:hAnsi="Verdana" w:cs="Arial"/>
              </w:rPr>
            </w:pPr>
          </w:p>
        </w:tc>
        <w:tc>
          <w:tcPr>
            <w:tcW w:w="8554" w:type="dxa"/>
          </w:tcPr>
          <w:p w14:paraId="0003E988" w14:textId="4FDCACFE" w:rsidR="00626083" w:rsidRPr="00C32CF7" w:rsidRDefault="00C32CF7" w:rsidP="00E26739">
            <w:pPr>
              <w:rPr>
                <w:rFonts w:ascii="Verdana" w:hAnsi="Verdana" w:cs="Arial"/>
                <w:b/>
                <w:bCs/>
              </w:rPr>
            </w:pPr>
            <w:r w:rsidRPr="00C32CF7">
              <w:rPr>
                <w:rFonts w:ascii="Verdana" w:hAnsi="Verdana" w:cs="Arial"/>
                <w:b/>
                <w:bCs/>
              </w:rPr>
              <w:t>Unauthorised Mutual Exchanges</w:t>
            </w:r>
          </w:p>
        </w:tc>
      </w:tr>
      <w:tr w:rsidR="00C32CF7" w14:paraId="779C4B6E" w14:textId="77777777" w:rsidTr="005D0574">
        <w:tc>
          <w:tcPr>
            <w:tcW w:w="796" w:type="dxa"/>
          </w:tcPr>
          <w:p w14:paraId="1FFB6868" w14:textId="28D877D5" w:rsidR="00C32CF7" w:rsidRDefault="00BF0D58" w:rsidP="00E26739">
            <w:pPr>
              <w:rPr>
                <w:rFonts w:ascii="Verdana" w:hAnsi="Verdana" w:cs="Arial"/>
              </w:rPr>
            </w:pPr>
            <w:r>
              <w:rPr>
                <w:rFonts w:ascii="Verdana" w:hAnsi="Verdana" w:cs="Arial"/>
              </w:rPr>
              <w:t>7.8.</w:t>
            </w:r>
          </w:p>
        </w:tc>
        <w:tc>
          <w:tcPr>
            <w:tcW w:w="8554" w:type="dxa"/>
          </w:tcPr>
          <w:p w14:paraId="67CE9386" w14:textId="3E6A9B9E" w:rsidR="00C32CF7" w:rsidRDefault="00C32CF7" w:rsidP="00E26739">
            <w:pPr>
              <w:rPr>
                <w:rFonts w:ascii="Verdana" w:hAnsi="Verdana" w:cs="Arial"/>
              </w:rPr>
            </w:pPr>
            <w:r>
              <w:rPr>
                <w:rFonts w:ascii="Verdana" w:hAnsi="Verdana" w:cs="Arial"/>
              </w:rPr>
              <w:t xml:space="preserve">If tenants have completed a mutual exchange, without the Council’s knowledge or consent, the tenants will be treated as unauthorised </w:t>
            </w:r>
            <w:r>
              <w:rPr>
                <w:rFonts w:ascii="Verdana" w:hAnsi="Verdana" w:cs="Arial"/>
              </w:rPr>
              <w:lastRenderedPageBreak/>
              <w:t xml:space="preserve">occupiers and the tenants will be instructed to return to their own property within 7-days. </w:t>
            </w:r>
          </w:p>
          <w:p w14:paraId="0AE112D6" w14:textId="26FD975D" w:rsidR="00C32CF7" w:rsidRDefault="00C32CF7" w:rsidP="00E26739">
            <w:pPr>
              <w:rPr>
                <w:rFonts w:ascii="Verdana" w:hAnsi="Verdana" w:cs="Arial"/>
              </w:rPr>
            </w:pPr>
          </w:p>
        </w:tc>
      </w:tr>
      <w:tr w:rsidR="00C32CF7" w14:paraId="6CC8612C" w14:textId="77777777" w:rsidTr="005D0574">
        <w:tc>
          <w:tcPr>
            <w:tcW w:w="796" w:type="dxa"/>
          </w:tcPr>
          <w:p w14:paraId="4EBA2564" w14:textId="514B4F7A" w:rsidR="00C32CF7" w:rsidRDefault="00BF0D58" w:rsidP="00E26739">
            <w:pPr>
              <w:rPr>
                <w:rFonts w:ascii="Verdana" w:hAnsi="Verdana" w:cs="Arial"/>
              </w:rPr>
            </w:pPr>
            <w:r>
              <w:rPr>
                <w:rFonts w:ascii="Verdana" w:hAnsi="Verdana" w:cs="Arial"/>
              </w:rPr>
              <w:lastRenderedPageBreak/>
              <w:t>7.9.</w:t>
            </w:r>
          </w:p>
        </w:tc>
        <w:tc>
          <w:tcPr>
            <w:tcW w:w="8554" w:type="dxa"/>
          </w:tcPr>
          <w:p w14:paraId="5CCEA539" w14:textId="0101E750" w:rsidR="00C32CF7" w:rsidRDefault="00C32CF7" w:rsidP="00E26739">
            <w:pPr>
              <w:rPr>
                <w:rFonts w:ascii="Verdana" w:hAnsi="Verdana" w:cs="Arial"/>
              </w:rPr>
            </w:pPr>
            <w:r>
              <w:rPr>
                <w:rFonts w:ascii="Verdana" w:hAnsi="Verdana" w:cs="Arial"/>
              </w:rPr>
              <w:t xml:space="preserve">If </w:t>
            </w:r>
            <w:r>
              <w:rPr>
                <w:rFonts w:ascii="Verdana" w:hAnsi="Verdana" w:cs="Arial"/>
              </w:rPr>
              <w:t xml:space="preserve">the tenants have not returned to their own property, the Council will serve them with a Notice and commence legal proceedings. If the tenants have returned to their own property, the Council will then consider an application for a Mutual Exchange upon receipt of completed application forms. </w:t>
            </w:r>
          </w:p>
          <w:p w14:paraId="56393C3A" w14:textId="0B1FEDC5" w:rsidR="00C32CF7" w:rsidRDefault="00C32CF7" w:rsidP="00E26739">
            <w:pPr>
              <w:rPr>
                <w:rFonts w:ascii="Verdana" w:hAnsi="Verdana" w:cs="Arial"/>
              </w:rPr>
            </w:pPr>
          </w:p>
        </w:tc>
      </w:tr>
      <w:tr w:rsidR="00D43CC7" w14:paraId="5BCBD310" w14:textId="77777777" w:rsidTr="005D0574">
        <w:tc>
          <w:tcPr>
            <w:tcW w:w="796" w:type="dxa"/>
          </w:tcPr>
          <w:p w14:paraId="2C822E33" w14:textId="77777777" w:rsidR="00D43CC7" w:rsidRDefault="00D43CC7" w:rsidP="00E26739">
            <w:pPr>
              <w:rPr>
                <w:rFonts w:ascii="Verdana" w:hAnsi="Verdana" w:cs="Arial"/>
              </w:rPr>
            </w:pPr>
          </w:p>
        </w:tc>
        <w:tc>
          <w:tcPr>
            <w:tcW w:w="8554" w:type="dxa"/>
          </w:tcPr>
          <w:p w14:paraId="1933302C" w14:textId="35EE9135" w:rsidR="00D43CC7" w:rsidRPr="00D43CC7" w:rsidRDefault="00D43CC7" w:rsidP="00E26739">
            <w:pPr>
              <w:rPr>
                <w:rFonts w:ascii="Verdana" w:hAnsi="Verdana" w:cs="Arial"/>
                <w:b/>
                <w:bCs/>
              </w:rPr>
            </w:pPr>
            <w:r w:rsidRPr="00D43CC7">
              <w:rPr>
                <w:rFonts w:ascii="Verdana" w:hAnsi="Verdana" w:cs="Arial"/>
                <w:b/>
                <w:bCs/>
              </w:rPr>
              <w:t>Nuneaton and Bedworth Borough Council Policy Grounds</w:t>
            </w:r>
          </w:p>
        </w:tc>
      </w:tr>
      <w:tr w:rsidR="00D43CC7" w14:paraId="6CAB7CC6" w14:textId="77777777" w:rsidTr="005D0574">
        <w:trPr>
          <w:trHeight w:val="822"/>
        </w:trPr>
        <w:tc>
          <w:tcPr>
            <w:tcW w:w="796" w:type="dxa"/>
          </w:tcPr>
          <w:p w14:paraId="64C4C4C6" w14:textId="75C505CB" w:rsidR="00D43CC7" w:rsidRDefault="00BF0D58" w:rsidP="00E26739">
            <w:pPr>
              <w:rPr>
                <w:rFonts w:ascii="Verdana" w:hAnsi="Verdana" w:cs="Arial"/>
              </w:rPr>
            </w:pPr>
            <w:r>
              <w:rPr>
                <w:rFonts w:ascii="Verdana" w:hAnsi="Verdana" w:cs="Arial"/>
              </w:rPr>
              <w:t>7.10.</w:t>
            </w:r>
          </w:p>
        </w:tc>
        <w:tc>
          <w:tcPr>
            <w:tcW w:w="8554" w:type="dxa"/>
          </w:tcPr>
          <w:p w14:paraId="2E620A4C" w14:textId="77777777" w:rsidR="00D43CC7" w:rsidRDefault="00D43CC7" w:rsidP="00E26739">
            <w:pPr>
              <w:rPr>
                <w:rFonts w:ascii="Verdana" w:hAnsi="Verdana" w:cs="Arial"/>
              </w:rPr>
            </w:pPr>
            <w:r>
              <w:rPr>
                <w:rFonts w:ascii="Verdana" w:hAnsi="Verdana" w:cs="Arial"/>
              </w:rPr>
              <w:t>The following grounds for refusal and conditions apply to any mutual exchange, where neither Schedule 3 of the Housing Act 1985 nor Schedule 14 of the Localism Act 2011 are referred to in the Tenancy Agreement:</w:t>
            </w:r>
          </w:p>
          <w:p w14:paraId="4990676A" w14:textId="77777777" w:rsidR="00D43CC7" w:rsidRDefault="00D43CC7" w:rsidP="00E26739">
            <w:pPr>
              <w:rPr>
                <w:rFonts w:ascii="Verdana" w:hAnsi="Verdana" w:cs="Arial"/>
              </w:rPr>
            </w:pPr>
          </w:p>
          <w:p w14:paraId="6DD061AC" w14:textId="124C248A" w:rsidR="00D43CC7" w:rsidRDefault="00D43CC7" w:rsidP="00D43CC7">
            <w:pPr>
              <w:pStyle w:val="ListParagraph"/>
              <w:numPr>
                <w:ilvl w:val="0"/>
                <w:numId w:val="25"/>
              </w:numPr>
              <w:rPr>
                <w:rFonts w:ascii="Verdana" w:hAnsi="Verdana" w:cs="Arial"/>
              </w:rPr>
            </w:pPr>
            <w:r>
              <w:rPr>
                <w:rFonts w:ascii="Verdana" w:hAnsi="Verdana" w:cs="Arial"/>
              </w:rPr>
              <w:t>All grounds for refusal set out in Schedule 3 of the Housing Act 1985 and Schedule 14 of the Localism Act 2011 (this includes any rent lawfully due from a tenant under one of the existing tenancies has not been paid).</w:t>
            </w:r>
          </w:p>
          <w:p w14:paraId="5CB8BFD0" w14:textId="354DF698" w:rsidR="00D43CC7" w:rsidRDefault="00D43CC7" w:rsidP="00D43CC7">
            <w:pPr>
              <w:pStyle w:val="ListParagraph"/>
              <w:rPr>
                <w:rFonts w:ascii="Verdana" w:hAnsi="Verdana" w:cs="Arial"/>
              </w:rPr>
            </w:pPr>
          </w:p>
          <w:p w14:paraId="12271FC7" w14:textId="693D2E29" w:rsidR="00D43CC7" w:rsidRDefault="00D43CC7" w:rsidP="00D43CC7">
            <w:pPr>
              <w:pStyle w:val="ListParagraph"/>
              <w:numPr>
                <w:ilvl w:val="0"/>
                <w:numId w:val="25"/>
              </w:numPr>
              <w:rPr>
                <w:rFonts w:ascii="Verdana" w:hAnsi="Verdana" w:cs="Arial"/>
              </w:rPr>
            </w:pPr>
            <w:r>
              <w:rPr>
                <w:rFonts w:ascii="Verdana" w:hAnsi="Verdana" w:cs="Arial"/>
              </w:rPr>
              <w:t>Where the property is too large for the incoming tenant, and will result in under-occupation</w:t>
            </w:r>
            <w:r w:rsidR="00BF0D58">
              <w:rPr>
                <w:rFonts w:ascii="Verdana" w:hAnsi="Verdana" w:cs="Arial"/>
              </w:rPr>
              <w:t xml:space="preserve"> </w:t>
            </w:r>
            <w:r>
              <w:rPr>
                <w:rFonts w:ascii="Verdana" w:hAnsi="Verdana" w:cs="Arial"/>
              </w:rPr>
              <w:t>(in accordance with the Allocations Policy)</w:t>
            </w:r>
            <w:r w:rsidR="00BF0D58">
              <w:rPr>
                <w:rFonts w:ascii="Verdana" w:hAnsi="Verdana" w:cs="Arial"/>
              </w:rPr>
              <w:t xml:space="preserve">. </w:t>
            </w:r>
          </w:p>
          <w:p w14:paraId="77EAFE08" w14:textId="77777777" w:rsidR="00BF0D58" w:rsidRPr="00BF0D58" w:rsidRDefault="00BF0D58" w:rsidP="00BF0D58">
            <w:pPr>
              <w:pStyle w:val="ListParagraph"/>
              <w:rPr>
                <w:rFonts w:ascii="Verdana" w:hAnsi="Verdana" w:cs="Arial"/>
              </w:rPr>
            </w:pPr>
          </w:p>
          <w:p w14:paraId="6716FCBE" w14:textId="05ACA992" w:rsidR="00BF0D58" w:rsidRDefault="00BF0D58" w:rsidP="00D43CC7">
            <w:pPr>
              <w:pStyle w:val="ListParagraph"/>
              <w:numPr>
                <w:ilvl w:val="0"/>
                <w:numId w:val="25"/>
              </w:numPr>
              <w:rPr>
                <w:rFonts w:ascii="Verdana" w:hAnsi="Verdana" w:cs="Arial"/>
              </w:rPr>
            </w:pPr>
            <w:r>
              <w:rPr>
                <w:rFonts w:ascii="Verdana" w:hAnsi="Verdana" w:cs="Arial"/>
              </w:rPr>
              <w:t>Where the property is too small for the incoming tenant, and will result in overcrowding (in accordance with the Allocations Policy).</w:t>
            </w:r>
          </w:p>
          <w:p w14:paraId="02ABC1EE" w14:textId="77777777" w:rsidR="00BF0D58" w:rsidRPr="00BF0D58" w:rsidRDefault="00BF0D58" w:rsidP="00BF0D58">
            <w:pPr>
              <w:pStyle w:val="ListParagraph"/>
              <w:rPr>
                <w:rFonts w:ascii="Verdana" w:hAnsi="Verdana" w:cs="Arial"/>
              </w:rPr>
            </w:pPr>
          </w:p>
          <w:p w14:paraId="1E2EC0EB" w14:textId="297C59C5" w:rsidR="00BF0D58" w:rsidRDefault="00BF0D58" w:rsidP="00D43CC7">
            <w:pPr>
              <w:pStyle w:val="ListParagraph"/>
              <w:numPr>
                <w:ilvl w:val="0"/>
                <w:numId w:val="25"/>
              </w:numPr>
              <w:rPr>
                <w:rFonts w:ascii="Verdana" w:hAnsi="Verdana" w:cs="Arial"/>
              </w:rPr>
            </w:pPr>
            <w:r>
              <w:rPr>
                <w:rFonts w:ascii="Verdana" w:hAnsi="Verdana" w:cs="Arial"/>
              </w:rPr>
              <w:t xml:space="preserve">Where the incoming tenant would require adaptations to the property for it to be suitable for their needs, the adaptation and necessary funding needs to be approved in-line with the Council’s Aids &amp; Adaptations Policy, and procedure before the mutual exchange can take place. </w:t>
            </w:r>
          </w:p>
          <w:p w14:paraId="2C07D4BF" w14:textId="77777777" w:rsidR="00BF0D58" w:rsidRPr="00BF0D58" w:rsidRDefault="00BF0D58" w:rsidP="00BF0D58">
            <w:pPr>
              <w:pStyle w:val="ListParagraph"/>
              <w:rPr>
                <w:rFonts w:ascii="Verdana" w:hAnsi="Verdana" w:cs="Arial"/>
              </w:rPr>
            </w:pPr>
          </w:p>
          <w:p w14:paraId="40C04AF1" w14:textId="0EC6F516" w:rsidR="00BF0D58" w:rsidRDefault="00BF0D58" w:rsidP="00D43CC7">
            <w:pPr>
              <w:pStyle w:val="ListParagraph"/>
              <w:numPr>
                <w:ilvl w:val="0"/>
                <w:numId w:val="25"/>
              </w:numPr>
              <w:rPr>
                <w:rFonts w:ascii="Verdana" w:hAnsi="Verdana" w:cs="Arial"/>
              </w:rPr>
            </w:pPr>
            <w:r>
              <w:rPr>
                <w:rFonts w:ascii="Verdana" w:hAnsi="Verdana" w:cs="Arial"/>
              </w:rPr>
              <w:t>The incoming tenant’s landlord has not provided a satisfactory tenancy reference.</w:t>
            </w:r>
          </w:p>
          <w:p w14:paraId="10964356" w14:textId="77777777" w:rsidR="00BF0D58" w:rsidRPr="00BF0D58" w:rsidRDefault="00BF0D58" w:rsidP="00BF0D58">
            <w:pPr>
              <w:pStyle w:val="ListParagraph"/>
              <w:rPr>
                <w:rFonts w:ascii="Verdana" w:hAnsi="Verdana" w:cs="Arial"/>
              </w:rPr>
            </w:pPr>
          </w:p>
          <w:p w14:paraId="18E47CD9" w14:textId="445D0E91" w:rsidR="00BF0D58" w:rsidRDefault="00BF0D58" w:rsidP="00D43CC7">
            <w:pPr>
              <w:pStyle w:val="ListParagraph"/>
              <w:numPr>
                <w:ilvl w:val="0"/>
                <w:numId w:val="25"/>
              </w:numPr>
              <w:rPr>
                <w:rFonts w:ascii="Verdana" w:hAnsi="Verdana" w:cs="Arial"/>
              </w:rPr>
            </w:pPr>
            <w:r>
              <w:rPr>
                <w:rFonts w:ascii="Verdana" w:hAnsi="Verdana" w:cs="Arial"/>
              </w:rPr>
              <w:t xml:space="preserve">Where any conditions of planning agreements, covenants, head leases, Section 106 agreements that relate to the property would prohibit the incoming tenant from moving to the property, for example – where housing is only to be provided for people with a local connection. </w:t>
            </w:r>
          </w:p>
          <w:p w14:paraId="423064C3" w14:textId="77777777" w:rsidR="00BF0D58" w:rsidRPr="00BF0D58" w:rsidRDefault="00BF0D58" w:rsidP="00BF0D58">
            <w:pPr>
              <w:pStyle w:val="ListParagraph"/>
              <w:rPr>
                <w:rFonts w:ascii="Verdana" w:hAnsi="Verdana" w:cs="Arial"/>
              </w:rPr>
            </w:pPr>
          </w:p>
          <w:p w14:paraId="1B6664A9" w14:textId="7AC9FE6C" w:rsidR="00BF0D58" w:rsidRDefault="00BF0D58" w:rsidP="00D43CC7">
            <w:pPr>
              <w:pStyle w:val="ListParagraph"/>
              <w:numPr>
                <w:ilvl w:val="0"/>
                <w:numId w:val="25"/>
              </w:numPr>
              <w:rPr>
                <w:rFonts w:ascii="Verdana" w:hAnsi="Verdana" w:cs="Arial"/>
              </w:rPr>
            </w:pPr>
            <w:r>
              <w:rPr>
                <w:rFonts w:ascii="Verdana" w:hAnsi="Verdana" w:cs="Arial"/>
              </w:rPr>
              <w:t>Where the incoming tenant cannot demonstrate that they have sufficient level of income to afford the rent (e.g. as a result of either benefit entitlement, or general lack of income) unless they are an existing NBBC tenant and the rent would be lower than their current rent.</w:t>
            </w:r>
          </w:p>
          <w:p w14:paraId="73D527BF" w14:textId="77777777" w:rsidR="00BF0D58" w:rsidRPr="00BF0D58" w:rsidRDefault="00BF0D58" w:rsidP="00BF0D58">
            <w:pPr>
              <w:pStyle w:val="ListParagraph"/>
              <w:rPr>
                <w:rFonts w:ascii="Verdana" w:hAnsi="Verdana" w:cs="Arial"/>
              </w:rPr>
            </w:pPr>
          </w:p>
          <w:p w14:paraId="56A78639" w14:textId="66C1C351" w:rsidR="00BF0D58" w:rsidRDefault="00BF0D58" w:rsidP="00D43CC7">
            <w:pPr>
              <w:pStyle w:val="ListParagraph"/>
              <w:numPr>
                <w:ilvl w:val="0"/>
                <w:numId w:val="25"/>
              </w:numPr>
              <w:rPr>
                <w:rFonts w:ascii="Verdana" w:hAnsi="Verdana" w:cs="Arial"/>
              </w:rPr>
            </w:pPr>
            <w:r>
              <w:rPr>
                <w:rFonts w:ascii="Verdana" w:hAnsi="Verdana" w:cs="Arial"/>
              </w:rPr>
              <w:lastRenderedPageBreak/>
              <w:t xml:space="preserve">Where the incoming tenant plans to bring any pets that the Council would not give permission for under the Pet Policy. </w:t>
            </w:r>
          </w:p>
          <w:p w14:paraId="10D3CE07" w14:textId="77777777" w:rsidR="00BF0D58" w:rsidRPr="00BF0D58" w:rsidRDefault="00BF0D58" w:rsidP="00BF0D58">
            <w:pPr>
              <w:pStyle w:val="ListParagraph"/>
              <w:rPr>
                <w:rFonts w:ascii="Verdana" w:hAnsi="Verdana" w:cs="Arial"/>
              </w:rPr>
            </w:pPr>
          </w:p>
          <w:p w14:paraId="223CC810" w14:textId="20769F51" w:rsidR="00BF0D58" w:rsidRDefault="00BF0D58" w:rsidP="00D43CC7">
            <w:pPr>
              <w:pStyle w:val="ListParagraph"/>
              <w:numPr>
                <w:ilvl w:val="0"/>
                <w:numId w:val="25"/>
              </w:numPr>
              <w:rPr>
                <w:rFonts w:ascii="Verdana" w:hAnsi="Verdana" w:cs="Arial"/>
              </w:rPr>
            </w:pPr>
            <w:r>
              <w:rPr>
                <w:rFonts w:ascii="Verdana" w:hAnsi="Verdana" w:cs="Arial"/>
              </w:rPr>
              <w:t xml:space="preserve">Where money has been exchanged between parties to facilitate the exchange. </w:t>
            </w:r>
          </w:p>
          <w:p w14:paraId="07BE15BC" w14:textId="77777777" w:rsidR="00BF0D58" w:rsidRPr="00BF0D58" w:rsidRDefault="00BF0D58" w:rsidP="00BF0D58">
            <w:pPr>
              <w:pStyle w:val="ListParagraph"/>
              <w:rPr>
                <w:rFonts w:ascii="Verdana" w:hAnsi="Verdana" w:cs="Arial"/>
              </w:rPr>
            </w:pPr>
          </w:p>
          <w:p w14:paraId="583F1965" w14:textId="15F46561" w:rsidR="00BF0D58" w:rsidRPr="00D43CC7" w:rsidRDefault="00BF0D58" w:rsidP="00D43CC7">
            <w:pPr>
              <w:pStyle w:val="ListParagraph"/>
              <w:numPr>
                <w:ilvl w:val="0"/>
                <w:numId w:val="25"/>
              </w:numPr>
              <w:rPr>
                <w:rFonts w:ascii="Verdana" w:hAnsi="Verdana" w:cs="Arial"/>
              </w:rPr>
            </w:pPr>
            <w:r>
              <w:rPr>
                <w:rFonts w:ascii="Verdana" w:hAnsi="Verdana" w:cs="Arial"/>
              </w:rPr>
              <w:t xml:space="preserve">Exceptional circumstances where it would not be reasonable to consent to the mutual exchange, as such where there are significant safeguarding concerns or members of the public are at risk.  These decisions must be approved by the Assistant Director of Social Housing &amp; Community Safety. </w:t>
            </w:r>
          </w:p>
          <w:p w14:paraId="6BBDD544" w14:textId="49BE8192" w:rsidR="00D43CC7" w:rsidRDefault="00D43CC7" w:rsidP="00E26739">
            <w:pPr>
              <w:rPr>
                <w:rFonts w:ascii="Verdana" w:hAnsi="Verdana" w:cs="Arial"/>
              </w:rPr>
            </w:pPr>
          </w:p>
        </w:tc>
      </w:tr>
      <w:tr w:rsidR="00E26739" w14:paraId="6F2A0908" w14:textId="77777777" w:rsidTr="005D0574">
        <w:tc>
          <w:tcPr>
            <w:tcW w:w="796" w:type="dxa"/>
          </w:tcPr>
          <w:p w14:paraId="263FBC38" w14:textId="45A22708" w:rsidR="00E26739" w:rsidRPr="00C93FF0" w:rsidRDefault="00D43CC7" w:rsidP="00E26739">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lastRenderedPageBreak/>
              <w:t>8.</w:t>
            </w:r>
          </w:p>
        </w:tc>
        <w:tc>
          <w:tcPr>
            <w:tcW w:w="8554" w:type="dxa"/>
          </w:tcPr>
          <w:p w14:paraId="762471AE" w14:textId="1C2B5FDE" w:rsidR="00E26739" w:rsidRPr="00C93FF0" w:rsidRDefault="00E26739" w:rsidP="00E26739">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Appeals</w:t>
            </w:r>
          </w:p>
        </w:tc>
      </w:tr>
      <w:tr w:rsidR="00E26739" w14:paraId="2819D2D9" w14:textId="77777777" w:rsidTr="005D0574">
        <w:tc>
          <w:tcPr>
            <w:tcW w:w="796" w:type="dxa"/>
          </w:tcPr>
          <w:p w14:paraId="6934694A" w14:textId="620C5B66" w:rsidR="00E26739" w:rsidRPr="003A37B6" w:rsidRDefault="00D43CC7" w:rsidP="00E26739">
            <w:pPr>
              <w:rPr>
                <w:rFonts w:ascii="Verdana" w:hAnsi="Verdana" w:cs="Arial"/>
              </w:rPr>
            </w:pPr>
            <w:r>
              <w:rPr>
                <w:rFonts w:ascii="Verdana" w:hAnsi="Verdana" w:cs="Arial"/>
              </w:rPr>
              <w:t>8.1.</w:t>
            </w:r>
          </w:p>
        </w:tc>
        <w:tc>
          <w:tcPr>
            <w:tcW w:w="8554" w:type="dxa"/>
          </w:tcPr>
          <w:p w14:paraId="3A33E85F" w14:textId="59CD108D" w:rsidR="00E26739" w:rsidRDefault="00E26739" w:rsidP="00E26739">
            <w:pPr>
              <w:rPr>
                <w:rFonts w:ascii="Verdana" w:hAnsi="Verdana" w:cs="Arial"/>
              </w:rPr>
            </w:pPr>
            <w:r>
              <w:rPr>
                <w:rFonts w:ascii="Verdana" w:hAnsi="Verdana" w:cs="Arial"/>
              </w:rPr>
              <w:t>Where an application has been refused, the case officer will confirm their decision and outline the reason for their decision in writing with the tenant.</w:t>
            </w:r>
          </w:p>
          <w:p w14:paraId="1AB836C5" w14:textId="38045379" w:rsidR="00E26739" w:rsidRPr="003A37B6" w:rsidRDefault="00E26739" w:rsidP="00E26739">
            <w:pPr>
              <w:rPr>
                <w:rFonts w:ascii="Verdana" w:hAnsi="Verdana" w:cs="Arial"/>
              </w:rPr>
            </w:pPr>
          </w:p>
        </w:tc>
      </w:tr>
      <w:tr w:rsidR="00E26739" w14:paraId="16203C15" w14:textId="77777777" w:rsidTr="005D0574">
        <w:tc>
          <w:tcPr>
            <w:tcW w:w="796" w:type="dxa"/>
          </w:tcPr>
          <w:p w14:paraId="67F4D1DC" w14:textId="7E3A2876" w:rsidR="00E26739" w:rsidRPr="003A37B6" w:rsidRDefault="00D43CC7" w:rsidP="00E26739">
            <w:pPr>
              <w:rPr>
                <w:rFonts w:ascii="Verdana" w:hAnsi="Verdana" w:cs="Arial"/>
              </w:rPr>
            </w:pPr>
            <w:r>
              <w:rPr>
                <w:rFonts w:ascii="Verdana" w:hAnsi="Verdana" w:cs="Arial"/>
              </w:rPr>
              <w:t>8.2.</w:t>
            </w:r>
          </w:p>
        </w:tc>
        <w:tc>
          <w:tcPr>
            <w:tcW w:w="8554" w:type="dxa"/>
          </w:tcPr>
          <w:p w14:paraId="29079926" w14:textId="77777777" w:rsidR="00E26739" w:rsidRPr="003A37B6" w:rsidRDefault="00E26739" w:rsidP="00E26739">
            <w:pPr>
              <w:rPr>
                <w:rFonts w:ascii="Verdana" w:hAnsi="Verdana" w:cs="Arial"/>
              </w:rPr>
            </w:pPr>
            <w:r>
              <w:rPr>
                <w:rFonts w:ascii="Verdana" w:hAnsi="Verdana" w:cs="Arial"/>
              </w:rPr>
              <w:t>A tenant can appeal the decision for the Mutual Exchange, and they must put their appeal in writing to the Landlord Services Manager within 10-working days from the date the decision was made and provide supporting evidence of their appeal.</w:t>
            </w:r>
          </w:p>
          <w:p w14:paraId="3623CA9A" w14:textId="77777777" w:rsidR="00E26739" w:rsidRDefault="00E26739" w:rsidP="00E26739">
            <w:pPr>
              <w:rPr>
                <w:rFonts w:ascii="Verdana" w:hAnsi="Verdana" w:cs="Arial"/>
              </w:rPr>
            </w:pPr>
          </w:p>
        </w:tc>
      </w:tr>
      <w:tr w:rsidR="00E26739" w14:paraId="482BD69C" w14:textId="77777777" w:rsidTr="005D0574">
        <w:tc>
          <w:tcPr>
            <w:tcW w:w="796" w:type="dxa"/>
          </w:tcPr>
          <w:p w14:paraId="2B366C0C" w14:textId="4871E7A0" w:rsidR="00E26739" w:rsidRPr="003A37B6" w:rsidRDefault="00D43CC7" w:rsidP="00E26739">
            <w:pPr>
              <w:rPr>
                <w:rFonts w:ascii="Verdana" w:hAnsi="Verdana" w:cs="Arial"/>
              </w:rPr>
            </w:pPr>
            <w:r>
              <w:rPr>
                <w:rFonts w:ascii="Verdana" w:hAnsi="Verdana" w:cs="Arial"/>
              </w:rPr>
              <w:t>8.3.</w:t>
            </w:r>
          </w:p>
        </w:tc>
        <w:tc>
          <w:tcPr>
            <w:tcW w:w="8554" w:type="dxa"/>
          </w:tcPr>
          <w:p w14:paraId="0929B7AF" w14:textId="5246C371" w:rsidR="00E26739" w:rsidRDefault="00E26739" w:rsidP="00E26739">
            <w:pPr>
              <w:rPr>
                <w:rFonts w:ascii="Verdana" w:hAnsi="Verdana" w:cs="Arial"/>
              </w:rPr>
            </w:pPr>
            <w:r>
              <w:rPr>
                <w:rFonts w:ascii="Verdana" w:hAnsi="Verdana" w:cs="Arial"/>
              </w:rPr>
              <w:t xml:space="preserve">The respective Team Leader will review the case in full, including the documents/evidence provided for the application. Their decision will be confirmed with the tenant in writing within 20-working days of receiving the appeal request. </w:t>
            </w:r>
          </w:p>
          <w:p w14:paraId="61DBCBF1" w14:textId="16EC40FD" w:rsidR="00E26739" w:rsidRDefault="00E26739" w:rsidP="00E26739">
            <w:pPr>
              <w:rPr>
                <w:rFonts w:ascii="Verdana" w:hAnsi="Verdana" w:cs="Arial"/>
              </w:rPr>
            </w:pPr>
          </w:p>
        </w:tc>
      </w:tr>
      <w:tr w:rsidR="00E26739" w14:paraId="1B04DEAF" w14:textId="77777777" w:rsidTr="005D0574">
        <w:tc>
          <w:tcPr>
            <w:tcW w:w="796" w:type="dxa"/>
          </w:tcPr>
          <w:p w14:paraId="3EC81C3C" w14:textId="0B84F280" w:rsidR="00E26739" w:rsidRPr="003A37B6" w:rsidRDefault="00D43CC7" w:rsidP="00E26739">
            <w:pPr>
              <w:rPr>
                <w:rFonts w:ascii="Verdana" w:hAnsi="Verdana" w:cs="Arial"/>
              </w:rPr>
            </w:pPr>
            <w:r>
              <w:rPr>
                <w:rFonts w:ascii="Verdana" w:hAnsi="Verdana" w:cs="Arial"/>
              </w:rPr>
              <w:t>8.4.</w:t>
            </w:r>
          </w:p>
        </w:tc>
        <w:tc>
          <w:tcPr>
            <w:tcW w:w="8554" w:type="dxa"/>
          </w:tcPr>
          <w:p w14:paraId="474CCE44" w14:textId="55602756" w:rsidR="00E26739" w:rsidRDefault="00E26739" w:rsidP="00E26739">
            <w:pPr>
              <w:rPr>
                <w:rFonts w:ascii="Verdana" w:hAnsi="Verdana" w:cs="Arial"/>
              </w:rPr>
            </w:pPr>
            <w:r>
              <w:rPr>
                <w:rFonts w:ascii="Verdana" w:hAnsi="Verdana" w:cs="Arial"/>
              </w:rPr>
              <w:t>If the tenant is dissatisfied with the decision, they can make a formal complaint, and this will be investigated in-line with the Council’s Housing Complaint Handling Policy and Housing Ombudsman’s Complaint Handling Code.</w:t>
            </w:r>
          </w:p>
          <w:p w14:paraId="1DEFFE8B" w14:textId="3FFFE8D0" w:rsidR="00E26739" w:rsidRPr="003A37B6" w:rsidRDefault="00E26739" w:rsidP="00E26739">
            <w:pPr>
              <w:rPr>
                <w:rFonts w:ascii="Verdana" w:hAnsi="Verdana" w:cs="Arial"/>
              </w:rPr>
            </w:pPr>
          </w:p>
        </w:tc>
      </w:tr>
      <w:tr w:rsidR="00E26739" w14:paraId="76816BE6" w14:textId="77777777" w:rsidTr="005D0574">
        <w:tc>
          <w:tcPr>
            <w:tcW w:w="796" w:type="dxa"/>
          </w:tcPr>
          <w:p w14:paraId="03F8382C" w14:textId="745B0368" w:rsidR="00E26739" w:rsidRPr="00CD7201" w:rsidRDefault="00D43CC7" w:rsidP="00E26739">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t>9.</w:t>
            </w:r>
          </w:p>
        </w:tc>
        <w:tc>
          <w:tcPr>
            <w:tcW w:w="8554" w:type="dxa"/>
          </w:tcPr>
          <w:p w14:paraId="648FAA34" w14:textId="77AAA82E" w:rsidR="00E26739" w:rsidRPr="00C93FF0" w:rsidRDefault="00E26739" w:rsidP="00E26739">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Related Documents</w:t>
            </w:r>
          </w:p>
        </w:tc>
      </w:tr>
      <w:tr w:rsidR="00E26739" w14:paraId="063D720B" w14:textId="77777777" w:rsidTr="005D0574">
        <w:tc>
          <w:tcPr>
            <w:tcW w:w="796" w:type="dxa"/>
          </w:tcPr>
          <w:p w14:paraId="762A0AAD" w14:textId="3BCE4E7F" w:rsidR="00E26739" w:rsidRDefault="00D43CC7" w:rsidP="00E26739">
            <w:pPr>
              <w:rPr>
                <w:rFonts w:ascii="Verdana" w:hAnsi="Verdana" w:cs="Arial"/>
                <w:sz w:val="24"/>
                <w:szCs w:val="24"/>
              </w:rPr>
            </w:pPr>
            <w:r>
              <w:rPr>
                <w:rFonts w:ascii="Verdana" w:hAnsi="Verdana" w:cs="Arial"/>
                <w:sz w:val="24"/>
                <w:szCs w:val="24"/>
              </w:rPr>
              <w:t>9.1.</w:t>
            </w:r>
          </w:p>
        </w:tc>
        <w:tc>
          <w:tcPr>
            <w:tcW w:w="8554" w:type="dxa"/>
          </w:tcPr>
          <w:p w14:paraId="3E22BC1F" w14:textId="2373F55B" w:rsidR="00E26739" w:rsidRPr="00C93FF0" w:rsidRDefault="00E26739" w:rsidP="00E26739">
            <w:pPr>
              <w:rPr>
                <w:rFonts w:ascii="Verdana" w:hAnsi="Verdana" w:cs="Arial"/>
              </w:rPr>
            </w:pPr>
            <w:r w:rsidRPr="00C93FF0">
              <w:rPr>
                <w:rFonts w:ascii="Verdana" w:hAnsi="Verdana" w:cs="Arial"/>
              </w:rPr>
              <w:t>This policy</w:t>
            </w:r>
            <w:r>
              <w:rPr>
                <w:rFonts w:ascii="Verdana" w:hAnsi="Verdana" w:cs="Arial"/>
              </w:rPr>
              <w:t xml:space="preserve"> refers </w:t>
            </w:r>
            <w:r w:rsidRPr="00C93FF0">
              <w:rPr>
                <w:rFonts w:ascii="Verdana" w:hAnsi="Verdana" w:cs="Arial"/>
              </w:rPr>
              <w:t>to the following documents:</w:t>
            </w:r>
          </w:p>
          <w:p w14:paraId="23894527" w14:textId="77777777" w:rsidR="00E26739" w:rsidRPr="00C93FF0" w:rsidRDefault="00E26739" w:rsidP="00E26739">
            <w:pPr>
              <w:rPr>
                <w:rFonts w:ascii="Verdana" w:hAnsi="Verdana" w:cs="Arial"/>
              </w:rPr>
            </w:pPr>
          </w:p>
          <w:p w14:paraId="101C7F74" w14:textId="56455D8D" w:rsidR="00E26739" w:rsidRDefault="00E26739" w:rsidP="00E26739">
            <w:pPr>
              <w:pStyle w:val="ListParagraph"/>
              <w:numPr>
                <w:ilvl w:val="0"/>
                <w:numId w:val="1"/>
              </w:numPr>
              <w:rPr>
                <w:rFonts w:ascii="Verdana" w:hAnsi="Verdana" w:cs="Arial"/>
                <w:color w:val="000000" w:themeColor="text1"/>
              </w:rPr>
            </w:pPr>
            <w:r w:rsidRPr="00E0154C">
              <w:rPr>
                <w:rFonts w:ascii="Verdana" w:hAnsi="Verdana" w:cs="Arial"/>
                <w:color w:val="000000" w:themeColor="text1"/>
              </w:rPr>
              <w:t>Tenancy Agreement</w:t>
            </w:r>
          </w:p>
          <w:p w14:paraId="336EE8E6" w14:textId="30F2E737" w:rsidR="00E26739" w:rsidRPr="00E0154C" w:rsidRDefault="00E26739" w:rsidP="00E26739">
            <w:pPr>
              <w:pStyle w:val="ListParagraph"/>
              <w:numPr>
                <w:ilvl w:val="0"/>
                <w:numId w:val="1"/>
              </w:numPr>
              <w:rPr>
                <w:rFonts w:ascii="Verdana" w:hAnsi="Verdana" w:cs="Arial"/>
                <w:color w:val="000000" w:themeColor="text1"/>
              </w:rPr>
            </w:pPr>
            <w:r>
              <w:rPr>
                <w:rFonts w:ascii="Verdana" w:hAnsi="Verdana" w:cs="Arial"/>
                <w:color w:val="000000" w:themeColor="text1"/>
              </w:rPr>
              <w:t>Sign-up check list</w:t>
            </w:r>
          </w:p>
          <w:p w14:paraId="3061B8FE" w14:textId="61C61F6D" w:rsidR="00E26739" w:rsidRDefault="00E26739" w:rsidP="00E26739">
            <w:pPr>
              <w:pStyle w:val="ListParagraph"/>
              <w:numPr>
                <w:ilvl w:val="0"/>
                <w:numId w:val="1"/>
              </w:numPr>
              <w:rPr>
                <w:rFonts w:ascii="Verdana" w:hAnsi="Verdana" w:cs="Arial"/>
                <w:color w:val="000000" w:themeColor="text1"/>
              </w:rPr>
            </w:pPr>
            <w:r w:rsidRPr="00E0154C">
              <w:rPr>
                <w:rFonts w:ascii="Verdana" w:hAnsi="Verdana" w:cs="Arial"/>
                <w:color w:val="000000" w:themeColor="text1"/>
              </w:rPr>
              <w:t>Mutual Exchange Procedure</w:t>
            </w:r>
          </w:p>
          <w:p w14:paraId="3CD63F33" w14:textId="54FFBBA5" w:rsidR="00E26739" w:rsidRPr="00E0154C" w:rsidRDefault="00E26739" w:rsidP="00E26739">
            <w:pPr>
              <w:pStyle w:val="ListParagraph"/>
              <w:numPr>
                <w:ilvl w:val="0"/>
                <w:numId w:val="1"/>
              </w:numPr>
              <w:rPr>
                <w:rFonts w:ascii="Verdana" w:hAnsi="Verdana" w:cs="Arial"/>
                <w:color w:val="000000" w:themeColor="text1"/>
              </w:rPr>
            </w:pPr>
            <w:r>
              <w:rPr>
                <w:rFonts w:ascii="Verdana" w:hAnsi="Verdana" w:cs="Arial"/>
                <w:color w:val="000000" w:themeColor="text1"/>
              </w:rPr>
              <w:t>Mutual Exchange Application Form</w:t>
            </w:r>
          </w:p>
          <w:p w14:paraId="52FEC666" w14:textId="3C567883" w:rsidR="00E26739" w:rsidRDefault="00E26739" w:rsidP="00E26739">
            <w:pPr>
              <w:pStyle w:val="ListParagraph"/>
              <w:numPr>
                <w:ilvl w:val="0"/>
                <w:numId w:val="1"/>
              </w:numPr>
              <w:rPr>
                <w:rFonts w:ascii="Verdana" w:hAnsi="Verdana" w:cs="Arial"/>
              </w:rPr>
            </w:pPr>
            <w:r>
              <w:rPr>
                <w:rFonts w:ascii="Verdana" w:hAnsi="Verdana" w:cs="Arial"/>
              </w:rPr>
              <w:t>Property Inspection Form</w:t>
            </w:r>
          </w:p>
          <w:p w14:paraId="03AB970A" w14:textId="6FDC206F" w:rsidR="00E26739" w:rsidRPr="00E0154C" w:rsidRDefault="00E26739" w:rsidP="00E26739">
            <w:pPr>
              <w:pStyle w:val="ListParagraph"/>
              <w:numPr>
                <w:ilvl w:val="0"/>
                <w:numId w:val="1"/>
              </w:numPr>
              <w:rPr>
                <w:rFonts w:ascii="Verdana" w:hAnsi="Verdana" w:cs="Arial"/>
              </w:rPr>
            </w:pPr>
            <w:r>
              <w:rPr>
                <w:rFonts w:ascii="Verdana" w:hAnsi="Verdana" w:cs="Arial"/>
              </w:rPr>
              <w:t>Financial Assessment (income &amp; expenditure form)</w:t>
            </w:r>
          </w:p>
          <w:p w14:paraId="45E89232" w14:textId="1BE9BEEF" w:rsidR="00E26739" w:rsidRPr="00C93FF0" w:rsidRDefault="00E26739" w:rsidP="00E26739">
            <w:pPr>
              <w:pStyle w:val="ListParagraph"/>
              <w:rPr>
                <w:rFonts w:ascii="Verdana" w:hAnsi="Verdana" w:cs="Arial"/>
              </w:rPr>
            </w:pPr>
          </w:p>
        </w:tc>
      </w:tr>
      <w:tr w:rsidR="00E26739" w14:paraId="706340A5" w14:textId="77777777" w:rsidTr="005D0574">
        <w:tc>
          <w:tcPr>
            <w:tcW w:w="796" w:type="dxa"/>
          </w:tcPr>
          <w:p w14:paraId="241E4F56" w14:textId="431E0EBA" w:rsidR="00E26739" w:rsidRDefault="00D43CC7" w:rsidP="00E26739">
            <w:pPr>
              <w:rPr>
                <w:rFonts w:ascii="Verdana" w:hAnsi="Verdana" w:cs="Arial"/>
                <w:sz w:val="24"/>
                <w:szCs w:val="24"/>
              </w:rPr>
            </w:pPr>
            <w:r>
              <w:rPr>
                <w:rFonts w:ascii="Verdana" w:hAnsi="Verdana" w:cs="Arial"/>
                <w:sz w:val="24"/>
                <w:szCs w:val="24"/>
              </w:rPr>
              <w:t>10.</w:t>
            </w:r>
          </w:p>
        </w:tc>
        <w:tc>
          <w:tcPr>
            <w:tcW w:w="8554" w:type="dxa"/>
          </w:tcPr>
          <w:p w14:paraId="39D66165" w14:textId="5204240A" w:rsidR="00E26739" w:rsidRPr="00C93FF0" w:rsidRDefault="00E26739" w:rsidP="00E26739">
            <w:pPr>
              <w:rPr>
                <w:rFonts w:ascii="Verdana" w:hAnsi="Verdana" w:cs="Arial"/>
              </w:rPr>
            </w:pPr>
            <w:r w:rsidRPr="00C93FF0">
              <w:rPr>
                <w:rFonts w:ascii="Verdana" w:hAnsi="Verdana" w:cs="Arial"/>
                <w:b/>
                <w:bCs/>
                <w:color w:val="385623" w:themeColor="accent6" w:themeShade="80"/>
                <w:sz w:val="24"/>
                <w:szCs w:val="24"/>
              </w:rPr>
              <w:t>References</w:t>
            </w:r>
          </w:p>
        </w:tc>
      </w:tr>
      <w:tr w:rsidR="00E26739" w14:paraId="089CE471" w14:textId="77777777" w:rsidTr="005D0574">
        <w:tc>
          <w:tcPr>
            <w:tcW w:w="796" w:type="dxa"/>
          </w:tcPr>
          <w:p w14:paraId="70A6B67F" w14:textId="0439C7B8" w:rsidR="00E26739" w:rsidRPr="00CD7201" w:rsidRDefault="00D43CC7" w:rsidP="00E26739">
            <w:pPr>
              <w:rPr>
                <w:rFonts w:ascii="Verdana" w:hAnsi="Verdana" w:cs="Arial"/>
                <w:color w:val="000000" w:themeColor="text1"/>
              </w:rPr>
            </w:pPr>
            <w:r>
              <w:rPr>
                <w:rFonts w:ascii="Verdana" w:hAnsi="Verdana" w:cs="Arial"/>
                <w:color w:val="000000" w:themeColor="text1"/>
              </w:rPr>
              <w:t>10.1.</w:t>
            </w:r>
          </w:p>
        </w:tc>
        <w:tc>
          <w:tcPr>
            <w:tcW w:w="8554" w:type="dxa"/>
          </w:tcPr>
          <w:p w14:paraId="5DFDCDEE" w14:textId="0484D206" w:rsidR="00E26739" w:rsidRPr="00C93FF0" w:rsidRDefault="00E26739" w:rsidP="00E26739">
            <w:pPr>
              <w:rPr>
                <w:rFonts w:ascii="Verdana" w:hAnsi="Verdana" w:cs="Arial"/>
                <w:color w:val="000000" w:themeColor="text1"/>
              </w:rPr>
            </w:pPr>
            <w:r w:rsidRPr="00C93FF0">
              <w:rPr>
                <w:rFonts w:ascii="Verdana" w:hAnsi="Verdana" w:cs="Arial"/>
                <w:color w:val="000000" w:themeColor="text1"/>
              </w:rPr>
              <w:t>This policy refers to:</w:t>
            </w:r>
          </w:p>
          <w:p w14:paraId="7041D91F" w14:textId="77777777" w:rsidR="00E26739" w:rsidRPr="00E0154C" w:rsidRDefault="00E26739" w:rsidP="00E26739">
            <w:pPr>
              <w:rPr>
                <w:rFonts w:ascii="Verdana" w:hAnsi="Verdana" w:cs="Arial"/>
                <w:color w:val="000000" w:themeColor="text1"/>
              </w:rPr>
            </w:pPr>
          </w:p>
          <w:p w14:paraId="23D768B4" w14:textId="77777777" w:rsidR="00E26739" w:rsidRPr="00E0154C" w:rsidRDefault="00E26739" w:rsidP="00E26739">
            <w:pPr>
              <w:pStyle w:val="ListParagraph"/>
              <w:numPr>
                <w:ilvl w:val="0"/>
                <w:numId w:val="1"/>
              </w:numPr>
              <w:rPr>
                <w:rFonts w:ascii="Verdana" w:hAnsi="Verdana" w:cs="Arial"/>
                <w:color w:val="000000" w:themeColor="text1"/>
              </w:rPr>
            </w:pPr>
            <w:r w:rsidRPr="00E0154C">
              <w:rPr>
                <w:rFonts w:ascii="Verdana" w:hAnsi="Verdana" w:cs="Arial"/>
                <w:color w:val="000000" w:themeColor="text1"/>
              </w:rPr>
              <w:t>Housing Act 1985</w:t>
            </w:r>
          </w:p>
          <w:p w14:paraId="6E58E873" w14:textId="77777777" w:rsidR="00E26739" w:rsidRPr="00E0154C" w:rsidRDefault="00E26739" w:rsidP="00E26739">
            <w:pPr>
              <w:pStyle w:val="ListParagraph"/>
              <w:numPr>
                <w:ilvl w:val="0"/>
                <w:numId w:val="1"/>
              </w:numPr>
              <w:rPr>
                <w:rFonts w:ascii="Verdana" w:hAnsi="Verdana" w:cs="Arial"/>
                <w:color w:val="000000" w:themeColor="text1"/>
              </w:rPr>
            </w:pPr>
            <w:r w:rsidRPr="00E0154C">
              <w:rPr>
                <w:rFonts w:ascii="Verdana" w:hAnsi="Verdana" w:cs="Arial"/>
                <w:color w:val="000000" w:themeColor="text1"/>
              </w:rPr>
              <w:t>Localism Act 2011</w:t>
            </w:r>
          </w:p>
          <w:p w14:paraId="508EC762" w14:textId="1C01109A" w:rsidR="00E26739" w:rsidRDefault="00E26739" w:rsidP="00E26739">
            <w:pPr>
              <w:pStyle w:val="ListParagraph"/>
              <w:numPr>
                <w:ilvl w:val="0"/>
                <w:numId w:val="1"/>
              </w:numPr>
              <w:rPr>
                <w:rFonts w:ascii="Verdana" w:hAnsi="Verdana" w:cs="Arial"/>
                <w:color w:val="000000" w:themeColor="text1"/>
              </w:rPr>
            </w:pPr>
            <w:r w:rsidRPr="00E0154C">
              <w:rPr>
                <w:rFonts w:ascii="Verdana" w:hAnsi="Verdana" w:cs="Arial"/>
                <w:color w:val="000000" w:themeColor="text1"/>
              </w:rPr>
              <w:lastRenderedPageBreak/>
              <w:t>Equality Act 2010</w:t>
            </w:r>
          </w:p>
          <w:p w14:paraId="621C9780" w14:textId="28BC2134" w:rsidR="00BF0D58" w:rsidRDefault="00BF0D58" w:rsidP="00E26739">
            <w:pPr>
              <w:pStyle w:val="ListParagraph"/>
              <w:numPr>
                <w:ilvl w:val="0"/>
                <w:numId w:val="1"/>
              </w:numPr>
              <w:rPr>
                <w:rFonts w:ascii="Verdana" w:hAnsi="Verdana" w:cs="Arial"/>
                <w:color w:val="000000" w:themeColor="text1"/>
              </w:rPr>
            </w:pPr>
            <w:r>
              <w:rPr>
                <w:rFonts w:ascii="Verdana" w:hAnsi="Verdana" w:cs="Arial"/>
                <w:color w:val="000000" w:themeColor="text1"/>
              </w:rPr>
              <w:t>Pet Policy</w:t>
            </w:r>
          </w:p>
          <w:p w14:paraId="3D88E5FD" w14:textId="77777777" w:rsidR="00BF0D58" w:rsidRDefault="00BF0D58" w:rsidP="00BF0D58">
            <w:pPr>
              <w:pStyle w:val="ListParagraph"/>
              <w:numPr>
                <w:ilvl w:val="0"/>
                <w:numId w:val="1"/>
              </w:numPr>
              <w:rPr>
                <w:rFonts w:ascii="Verdana" w:hAnsi="Verdana" w:cs="Arial"/>
                <w:color w:val="000000" w:themeColor="text1"/>
              </w:rPr>
            </w:pPr>
            <w:r w:rsidRPr="00E0154C">
              <w:rPr>
                <w:rFonts w:ascii="Verdana" w:hAnsi="Verdana" w:cs="Arial"/>
                <w:color w:val="000000" w:themeColor="text1"/>
              </w:rPr>
              <w:t>Allocations Policy</w:t>
            </w:r>
          </w:p>
          <w:p w14:paraId="080C2CD3" w14:textId="5CAEF30F" w:rsidR="00BF0D58" w:rsidRPr="00E0154C" w:rsidRDefault="00BF0D58" w:rsidP="00E26739">
            <w:pPr>
              <w:pStyle w:val="ListParagraph"/>
              <w:numPr>
                <w:ilvl w:val="0"/>
                <w:numId w:val="1"/>
              </w:numPr>
              <w:rPr>
                <w:rFonts w:ascii="Verdana" w:hAnsi="Verdana" w:cs="Arial"/>
                <w:color w:val="000000" w:themeColor="text1"/>
              </w:rPr>
            </w:pPr>
            <w:r>
              <w:rPr>
                <w:rFonts w:ascii="Verdana" w:hAnsi="Verdana" w:cs="Arial"/>
                <w:color w:val="000000" w:themeColor="text1"/>
              </w:rPr>
              <w:t>Aids &amp; Adaptations Policy</w:t>
            </w:r>
          </w:p>
          <w:p w14:paraId="14B4DCB2" w14:textId="4A3BDFF6" w:rsidR="00E26739" w:rsidRPr="004F066C" w:rsidRDefault="00E26739" w:rsidP="00E26739">
            <w:pPr>
              <w:pStyle w:val="ListParagraph"/>
              <w:numPr>
                <w:ilvl w:val="0"/>
                <w:numId w:val="1"/>
              </w:numPr>
              <w:rPr>
                <w:rFonts w:ascii="Verdana" w:hAnsi="Verdana" w:cs="Arial"/>
                <w:color w:val="000000" w:themeColor="text1"/>
              </w:rPr>
            </w:pPr>
            <w:r w:rsidRPr="004F066C">
              <w:rPr>
                <w:rFonts w:ascii="Verdana" w:hAnsi="Verdana" w:cs="Arial"/>
              </w:rPr>
              <w:t xml:space="preserve">Housing Complaint Handling Policy </w:t>
            </w:r>
          </w:p>
          <w:p w14:paraId="46B42930" w14:textId="478D82DA" w:rsidR="00E26739" w:rsidRPr="00C93FF0" w:rsidRDefault="00E26739" w:rsidP="00E26739">
            <w:pPr>
              <w:pStyle w:val="ListParagraph"/>
              <w:rPr>
                <w:rFonts w:ascii="Verdana" w:hAnsi="Verdana" w:cs="Arial"/>
                <w:color w:val="000000" w:themeColor="text1"/>
              </w:rPr>
            </w:pPr>
          </w:p>
        </w:tc>
      </w:tr>
      <w:tr w:rsidR="00E26739" w14:paraId="6F957C9D" w14:textId="77777777" w:rsidTr="005D0574">
        <w:tc>
          <w:tcPr>
            <w:tcW w:w="796" w:type="dxa"/>
          </w:tcPr>
          <w:p w14:paraId="12ABD31E" w14:textId="6039EDE6" w:rsidR="00E26739" w:rsidRPr="00CD7201" w:rsidRDefault="00D43CC7" w:rsidP="00E26739">
            <w:pPr>
              <w:rPr>
                <w:rFonts w:ascii="Verdana" w:hAnsi="Verdana" w:cs="Arial"/>
                <w:b/>
                <w:bCs/>
                <w:color w:val="385623" w:themeColor="accent6" w:themeShade="80"/>
                <w:sz w:val="24"/>
                <w:szCs w:val="24"/>
              </w:rPr>
            </w:pPr>
            <w:r>
              <w:rPr>
                <w:rFonts w:ascii="Verdana" w:hAnsi="Verdana" w:cs="Arial"/>
                <w:b/>
                <w:bCs/>
                <w:color w:val="385623" w:themeColor="accent6" w:themeShade="80"/>
                <w:sz w:val="24"/>
                <w:szCs w:val="24"/>
              </w:rPr>
              <w:lastRenderedPageBreak/>
              <w:t>11.</w:t>
            </w:r>
          </w:p>
        </w:tc>
        <w:tc>
          <w:tcPr>
            <w:tcW w:w="8554" w:type="dxa"/>
          </w:tcPr>
          <w:p w14:paraId="64CEE0DD" w14:textId="527E277E" w:rsidR="00E26739" w:rsidRPr="00C93FF0" w:rsidRDefault="00E26739" w:rsidP="00E26739">
            <w:pPr>
              <w:rPr>
                <w:rFonts w:ascii="Verdana" w:hAnsi="Verdana" w:cs="Arial"/>
                <w:b/>
                <w:bCs/>
                <w:color w:val="385623" w:themeColor="accent6" w:themeShade="80"/>
                <w:sz w:val="24"/>
                <w:szCs w:val="24"/>
              </w:rPr>
            </w:pPr>
            <w:r w:rsidRPr="00C93FF0">
              <w:rPr>
                <w:rFonts w:ascii="Verdana" w:hAnsi="Verdana" w:cs="Arial"/>
                <w:b/>
                <w:bCs/>
                <w:color w:val="385623" w:themeColor="accent6" w:themeShade="80"/>
                <w:sz w:val="24"/>
                <w:szCs w:val="24"/>
              </w:rPr>
              <w:t>Review Date</w:t>
            </w:r>
          </w:p>
        </w:tc>
      </w:tr>
      <w:tr w:rsidR="00E26739" w14:paraId="354BBB57" w14:textId="77777777" w:rsidTr="005D0574">
        <w:tc>
          <w:tcPr>
            <w:tcW w:w="796" w:type="dxa"/>
          </w:tcPr>
          <w:p w14:paraId="07F8FF9E" w14:textId="061ABB72" w:rsidR="00E26739" w:rsidRPr="00CD7201" w:rsidRDefault="00D43CC7" w:rsidP="00E26739">
            <w:pPr>
              <w:rPr>
                <w:rFonts w:ascii="Verdana" w:hAnsi="Verdana" w:cs="Arial"/>
              </w:rPr>
            </w:pPr>
            <w:r>
              <w:rPr>
                <w:rFonts w:ascii="Verdana" w:hAnsi="Verdana" w:cs="Arial"/>
              </w:rPr>
              <w:t>11.1.</w:t>
            </w:r>
          </w:p>
        </w:tc>
        <w:tc>
          <w:tcPr>
            <w:tcW w:w="8554" w:type="dxa"/>
          </w:tcPr>
          <w:p w14:paraId="57BC4236" w14:textId="77777777" w:rsidR="00E26739" w:rsidRPr="00C93FF0" w:rsidRDefault="00E26739" w:rsidP="00E26739">
            <w:pPr>
              <w:rPr>
                <w:rFonts w:ascii="Verdana" w:hAnsi="Verdana" w:cs="Arial"/>
              </w:rPr>
            </w:pPr>
            <w:r w:rsidRPr="00C93FF0">
              <w:rPr>
                <w:rFonts w:ascii="Verdana" w:hAnsi="Verdana" w:cs="Arial"/>
              </w:rPr>
              <w:t xml:space="preserve">This policy will be reviewed every three years or on the introduction of new legislation; regulation; or good practise. </w:t>
            </w:r>
          </w:p>
          <w:p w14:paraId="7673031F" w14:textId="6FC20B65" w:rsidR="00E26739" w:rsidRPr="00C93FF0" w:rsidRDefault="00E26739" w:rsidP="00E26739">
            <w:pPr>
              <w:rPr>
                <w:rFonts w:ascii="Verdana" w:hAnsi="Verdana" w:cs="Arial"/>
              </w:rPr>
            </w:pPr>
          </w:p>
        </w:tc>
      </w:tr>
      <w:tr w:rsidR="00E26739" w14:paraId="1AEBA246" w14:textId="77777777" w:rsidTr="005D0574">
        <w:tc>
          <w:tcPr>
            <w:tcW w:w="796" w:type="dxa"/>
          </w:tcPr>
          <w:p w14:paraId="198066D9" w14:textId="3506723A" w:rsidR="00E26739" w:rsidRPr="00CD7201" w:rsidRDefault="00D43CC7" w:rsidP="00E26739">
            <w:pPr>
              <w:rPr>
                <w:rFonts w:ascii="Verdana" w:hAnsi="Verdana" w:cs="Arial"/>
              </w:rPr>
            </w:pPr>
            <w:r>
              <w:rPr>
                <w:rFonts w:ascii="Verdana" w:hAnsi="Verdana" w:cs="Arial"/>
              </w:rPr>
              <w:t>11.2.</w:t>
            </w:r>
          </w:p>
        </w:tc>
        <w:tc>
          <w:tcPr>
            <w:tcW w:w="8554" w:type="dxa"/>
          </w:tcPr>
          <w:p w14:paraId="6834CFFC" w14:textId="77777777" w:rsidR="00E26739" w:rsidRDefault="00E26739" w:rsidP="00E26739">
            <w:pPr>
              <w:rPr>
                <w:rFonts w:ascii="Verdana" w:hAnsi="Verdana" w:cs="Arial"/>
              </w:rPr>
            </w:pPr>
            <w:r w:rsidRPr="00C93FF0">
              <w:rPr>
                <w:rFonts w:ascii="Verdana" w:hAnsi="Verdana" w:cs="Arial"/>
              </w:rPr>
              <w:t xml:space="preserve">Delegated authority to change; amend; and update this policy will be given to the Landlord Services Manager or Director for Social Housing &amp; Community Safety in consultation with the Portfolio Holder. </w:t>
            </w:r>
          </w:p>
          <w:p w14:paraId="6DF63F69" w14:textId="485CAD31" w:rsidR="00E26739" w:rsidRPr="00C93FF0" w:rsidRDefault="00E26739" w:rsidP="00E26739">
            <w:pPr>
              <w:rPr>
                <w:rFonts w:ascii="Verdana" w:hAnsi="Verdana" w:cs="Arial"/>
              </w:rPr>
            </w:pPr>
          </w:p>
        </w:tc>
      </w:tr>
    </w:tbl>
    <w:p w14:paraId="5A0D5990" w14:textId="77898EA2" w:rsidR="00161564" w:rsidRDefault="00161564">
      <w:pPr>
        <w:rPr>
          <w:rFonts w:ascii="Arial" w:hAnsi="Arial" w:cs="Arial"/>
          <w:b/>
          <w:bCs/>
          <w:sz w:val="24"/>
          <w:szCs w:val="24"/>
        </w:rPr>
      </w:pPr>
    </w:p>
    <w:p w14:paraId="4D31C865" w14:textId="77777777" w:rsidR="00927686" w:rsidRDefault="00A009FA">
      <w:pPr>
        <w:rPr>
          <w:rFonts w:ascii="Arial" w:hAnsi="Arial" w:cs="Arial"/>
          <w:b/>
          <w:bCs/>
          <w:sz w:val="24"/>
          <w:szCs w:val="24"/>
        </w:rPr>
      </w:pPr>
      <w:r>
        <w:rPr>
          <w:rFonts w:ascii="Arial" w:hAnsi="Arial" w:cs="Arial"/>
          <w:noProof/>
          <w:sz w:val="24"/>
          <w:szCs w:val="24"/>
        </w:rPr>
        <mc:AlternateContent>
          <mc:Choice Requires="wps">
            <w:drawing>
              <wp:anchor distT="0" distB="0" distL="114300" distR="114300" simplePos="0" relativeHeight="251658752" behindDoc="0" locked="0" layoutInCell="1" allowOverlap="1" wp14:anchorId="37368F90" wp14:editId="5BB73D9C">
                <wp:simplePos x="0" y="0"/>
                <wp:positionH relativeFrom="margin">
                  <wp:posOffset>121920</wp:posOffset>
                </wp:positionH>
                <wp:positionV relativeFrom="paragraph">
                  <wp:posOffset>6012180</wp:posOffset>
                </wp:positionV>
                <wp:extent cx="5686425" cy="2529840"/>
                <wp:effectExtent l="0" t="0" r="9525" b="3810"/>
                <wp:wrapNone/>
                <wp:docPr id="1922376606" name="Text Box 4"/>
                <wp:cNvGraphicFramePr/>
                <a:graphic xmlns:a="http://schemas.openxmlformats.org/drawingml/2006/main">
                  <a:graphicData uri="http://schemas.microsoft.com/office/word/2010/wordprocessingShape">
                    <wps:wsp>
                      <wps:cNvSpPr txBox="1"/>
                      <wps:spPr>
                        <a:xfrm>
                          <a:off x="0" y="0"/>
                          <a:ext cx="5686425" cy="2529840"/>
                        </a:xfrm>
                        <a:prstGeom prst="rect">
                          <a:avLst/>
                        </a:prstGeom>
                        <a:solidFill>
                          <a:schemeClr val="lt1"/>
                        </a:solidFill>
                        <a:ln w="6350">
                          <a:noFill/>
                        </a:ln>
                      </wps:spPr>
                      <wps:txbx>
                        <w:txbxContent>
                          <w:p w14:paraId="737FD0EF" w14:textId="77777777" w:rsidR="00A009FA" w:rsidRDefault="00A009FA" w:rsidP="00A009FA">
                            <w:pPr>
                              <w:rPr>
                                <w:rFonts w:ascii="Arial" w:hAnsi="Arial" w:cs="Arial"/>
                                <w:i/>
                                <w:iCs/>
                                <w:noProof/>
                                <w:sz w:val="24"/>
                                <w:szCs w:val="24"/>
                              </w:rPr>
                            </w:pPr>
                            <w:r w:rsidRPr="00A009FA">
                              <w:rPr>
                                <w:rFonts w:ascii="Arial" w:hAnsi="Arial" w:cs="Arial"/>
                                <w:i/>
                                <w:iCs/>
                                <w:noProof/>
                                <w:sz w:val="24"/>
                                <w:szCs w:val="24"/>
                              </w:rPr>
                              <w:drawing>
                                <wp:inline distT="0" distB="0" distL="0" distR="0" wp14:anchorId="3A18D6A8" wp14:editId="65EFC505">
                                  <wp:extent cx="5624466" cy="54610"/>
                                  <wp:effectExtent l="0" t="0" r="0" b="2540"/>
                                  <wp:docPr id="2541290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V="1">
                                            <a:off x="0" y="0"/>
                                            <a:ext cx="5786286" cy="56181"/>
                                          </a:xfrm>
                                          <a:prstGeom prst="rect">
                                            <a:avLst/>
                                          </a:prstGeom>
                                          <a:noFill/>
                                          <a:ln>
                                            <a:noFill/>
                                          </a:ln>
                                        </pic:spPr>
                                      </pic:pic>
                                    </a:graphicData>
                                  </a:graphic>
                                </wp:inline>
                              </w:drawing>
                            </w:r>
                          </w:p>
                          <w:p w14:paraId="097F4CE0" w14:textId="77777777" w:rsidR="009F4399" w:rsidRPr="00D10515" w:rsidRDefault="009F4399" w:rsidP="00A009FA">
                            <w:pPr>
                              <w:jc w:val="center"/>
                              <w:rPr>
                                <w:rFonts w:ascii="Verdana" w:hAnsi="Verdana" w:cs="Arial"/>
                                <w:i/>
                                <w:iCs/>
                              </w:rPr>
                            </w:pPr>
                            <w:r w:rsidRPr="00D10515">
                              <w:rPr>
                                <w:rFonts w:ascii="Verdana" w:hAnsi="Verdana" w:cs="Arial"/>
                                <w:i/>
                                <w:iCs/>
                              </w:rPr>
                              <w:t>This document has been published by Nuneaton and Bedworth Borough Council</w:t>
                            </w:r>
                          </w:p>
                          <w:p w14:paraId="73B4DE27" w14:textId="65AD5087" w:rsidR="00A009FA" w:rsidRPr="00D10515" w:rsidRDefault="00D10515" w:rsidP="00A009FA">
                            <w:pPr>
                              <w:jc w:val="center"/>
                              <w:rPr>
                                <w:rFonts w:ascii="Verdana" w:hAnsi="Verdana" w:cs="Arial"/>
                                <w:i/>
                                <w:iCs/>
                                <w:color w:val="FF0000"/>
                              </w:rPr>
                            </w:pPr>
                            <w:r w:rsidRPr="00D10515">
                              <w:rPr>
                                <w:rFonts w:ascii="Verdana" w:hAnsi="Verdana" w:cs="Arial"/>
                                <w:i/>
                                <w:iCs/>
                                <w:color w:val="FF0000"/>
                              </w:rPr>
                              <w:t>1 July 2025</w:t>
                            </w:r>
                          </w:p>
                          <w:p w14:paraId="588B210E" w14:textId="425090A3" w:rsidR="00D10515" w:rsidRPr="00D10515" w:rsidRDefault="00D10515" w:rsidP="00D10515">
                            <w:pPr>
                              <w:jc w:val="center"/>
                              <w:rPr>
                                <w:rFonts w:ascii="Verdana" w:hAnsi="Verdana" w:cs="Arial"/>
                                <w:i/>
                                <w:iCs/>
                              </w:rPr>
                            </w:pPr>
                            <w:r w:rsidRPr="00D10515">
                              <w:rPr>
                                <w:rFonts w:ascii="Verdana" w:hAnsi="Verdana" w:cs="Arial"/>
                                <w:i/>
                                <w:iCs/>
                              </w:rPr>
                              <w:t>02476 376 406 (Housing)</w:t>
                            </w:r>
                          </w:p>
                          <w:p w14:paraId="3B992620" w14:textId="67CBD44A" w:rsidR="00A009FA" w:rsidRPr="00D10515" w:rsidRDefault="00D10515" w:rsidP="00D10515">
                            <w:pPr>
                              <w:jc w:val="center"/>
                              <w:rPr>
                                <w:rFonts w:ascii="Verdana" w:hAnsi="Verdana" w:cs="Arial"/>
                                <w:i/>
                                <w:iCs/>
                              </w:rPr>
                            </w:pPr>
                            <w:hyperlink r:id="rId15" w:history="1">
                              <w:r w:rsidRPr="00E51848">
                                <w:rPr>
                                  <w:rStyle w:val="Hyperlink"/>
                                  <w:rFonts w:ascii="Verdana" w:hAnsi="Verdana" w:cs="Arial"/>
                                  <w:i/>
                                  <w:iCs/>
                                </w:rPr>
                                <w:t>tenancy.officers@nuneatonandbedworth.gov.uk</w:t>
                              </w:r>
                            </w:hyperlink>
                            <w:r w:rsidRPr="00D10515">
                              <w:rPr>
                                <w:rFonts w:ascii="Verdana" w:hAnsi="Verdana" w:cs="Arial"/>
                                <w:i/>
                                <w:iCs/>
                              </w:rPr>
                              <w:t xml:space="preserve"> </w:t>
                            </w:r>
                          </w:p>
                          <w:p w14:paraId="7D58685F" w14:textId="77777777" w:rsidR="00A009FA" w:rsidRPr="009F4399" w:rsidRDefault="00A009FA" w:rsidP="00A009FA">
                            <w:pPr>
                              <w:jc w:val="center"/>
                              <w:rPr>
                                <w:rFonts w:ascii="Arial" w:hAnsi="Arial" w:cs="Arial"/>
                                <w:i/>
                                <w:iCs/>
                                <w:sz w:val="24"/>
                                <w:szCs w:val="24"/>
                              </w:rPr>
                            </w:pPr>
                            <w:r w:rsidRPr="00A009FA">
                              <w:rPr>
                                <w:rFonts w:ascii="Arial" w:hAnsi="Arial" w:cs="Arial"/>
                                <w:i/>
                                <w:iCs/>
                                <w:noProof/>
                                <w:sz w:val="24"/>
                                <w:szCs w:val="24"/>
                              </w:rPr>
                              <w:drawing>
                                <wp:inline distT="0" distB="0" distL="0" distR="0" wp14:anchorId="3A66306D" wp14:editId="7D5C96BE">
                                  <wp:extent cx="5624466" cy="54610"/>
                                  <wp:effectExtent l="0" t="0" r="0" b="2540"/>
                                  <wp:docPr id="3264999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V="1">
                                            <a:off x="0" y="0"/>
                                            <a:ext cx="5786286" cy="561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68F90" id="_x0000_t202" coordsize="21600,21600" o:spt="202" path="m,l,21600r21600,l21600,xe">
                <v:stroke joinstyle="miter"/>
                <v:path gradientshapeok="t" o:connecttype="rect"/>
              </v:shapetype>
              <v:shape id="Text Box 4" o:spid="_x0000_s1031" type="#_x0000_t202" style="position:absolute;margin-left:9.6pt;margin-top:473.4pt;width:447.75pt;height:199.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" fillcolor="white [3201]" stroked="f" strokeweight=".5pt">
                <v:textbox>
                  <w:txbxContent>
                    <w:p w14:paraId="737FD0EF" w14:textId="77777777" w:rsidR="00A009FA" w:rsidRDefault="00A009FA" w:rsidP="00A009FA">
                      <w:pPr>
                        <w:rPr>
                          <w:rFonts w:ascii="Arial" w:hAnsi="Arial" w:cs="Arial"/>
                          <w:i/>
                          <w:iCs/>
                          <w:noProof/>
                          <w:sz w:val="24"/>
                          <w:szCs w:val="24"/>
                        </w:rPr>
                      </w:pPr>
                      <w:r w:rsidRPr="00A009FA">
                        <w:rPr>
                          <w:rFonts w:ascii="Arial" w:hAnsi="Arial" w:cs="Arial"/>
                          <w:i/>
                          <w:iCs/>
                          <w:noProof/>
                          <w:sz w:val="24"/>
                          <w:szCs w:val="24"/>
                        </w:rPr>
                        <w:drawing>
                          <wp:inline distT="0" distB="0" distL="0" distR="0" wp14:anchorId="3A18D6A8" wp14:editId="65EFC505">
                            <wp:extent cx="5624466" cy="54610"/>
                            <wp:effectExtent l="0" t="0" r="0" b="2540"/>
                            <wp:docPr id="2541290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V="1">
                                      <a:off x="0" y="0"/>
                                      <a:ext cx="5786286" cy="56181"/>
                                    </a:xfrm>
                                    <a:prstGeom prst="rect">
                                      <a:avLst/>
                                    </a:prstGeom>
                                    <a:noFill/>
                                    <a:ln>
                                      <a:noFill/>
                                    </a:ln>
                                  </pic:spPr>
                                </pic:pic>
                              </a:graphicData>
                            </a:graphic>
                          </wp:inline>
                        </w:drawing>
                      </w:r>
                    </w:p>
                    <w:p w14:paraId="097F4CE0" w14:textId="77777777" w:rsidR="009F4399" w:rsidRPr="00D10515" w:rsidRDefault="009F4399" w:rsidP="00A009FA">
                      <w:pPr>
                        <w:jc w:val="center"/>
                        <w:rPr>
                          <w:rFonts w:ascii="Verdana" w:hAnsi="Verdana" w:cs="Arial"/>
                          <w:i/>
                          <w:iCs/>
                        </w:rPr>
                      </w:pPr>
                      <w:r w:rsidRPr="00D10515">
                        <w:rPr>
                          <w:rFonts w:ascii="Verdana" w:hAnsi="Verdana" w:cs="Arial"/>
                          <w:i/>
                          <w:iCs/>
                        </w:rPr>
                        <w:t>This document has been published by Nuneaton and Bedworth Borough Council</w:t>
                      </w:r>
                    </w:p>
                    <w:p w14:paraId="73B4DE27" w14:textId="65AD5087" w:rsidR="00A009FA" w:rsidRPr="00D10515" w:rsidRDefault="00D10515" w:rsidP="00A009FA">
                      <w:pPr>
                        <w:jc w:val="center"/>
                        <w:rPr>
                          <w:rFonts w:ascii="Verdana" w:hAnsi="Verdana" w:cs="Arial"/>
                          <w:i/>
                          <w:iCs/>
                          <w:color w:val="FF0000"/>
                        </w:rPr>
                      </w:pPr>
                      <w:r w:rsidRPr="00D10515">
                        <w:rPr>
                          <w:rFonts w:ascii="Verdana" w:hAnsi="Verdana" w:cs="Arial"/>
                          <w:i/>
                          <w:iCs/>
                          <w:color w:val="FF0000"/>
                        </w:rPr>
                        <w:t>1 July 2025</w:t>
                      </w:r>
                    </w:p>
                    <w:p w14:paraId="588B210E" w14:textId="425090A3" w:rsidR="00D10515" w:rsidRPr="00D10515" w:rsidRDefault="00D10515" w:rsidP="00D10515">
                      <w:pPr>
                        <w:jc w:val="center"/>
                        <w:rPr>
                          <w:rFonts w:ascii="Verdana" w:hAnsi="Verdana" w:cs="Arial"/>
                          <w:i/>
                          <w:iCs/>
                        </w:rPr>
                      </w:pPr>
                      <w:r w:rsidRPr="00D10515">
                        <w:rPr>
                          <w:rFonts w:ascii="Verdana" w:hAnsi="Verdana" w:cs="Arial"/>
                          <w:i/>
                          <w:iCs/>
                        </w:rPr>
                        <w:t>02476 376 406 (Housing)</w:t>
                      </w:r>
                    </w:p>
                    <w:p w14:paraId="3B992620" w14:textId="67CBD44A" w:rsidR="00A009FA" w:rsidRPr="00D10515" w:rsidRDefault="00D10515" w:rsidP="00D10515">
                      <w:pPr>
                        <w:jc w:val="center"/>
                        <w:rPr>
                          <w:rFonts w:ascii="Verdana" w:hAnsi="Verdana" w:cs="Arial"/>
                          <w:i/>
                          <w:iCs/>
                        </w:rPr>
                      </w:pPr>
                      <w:hyperlink r:id="rId16" w:history="1">
                        <w:r w:rsidRPr="00E51848">
                          <w:rPr>
                            <w:rStyle w:val="Hyperlink"/>
                            <w:rFonts w:ascii="Verdana" w:hAnsi="Verdana" w:cs="Arial"/>
                            <w:i/>
                            <w:iCs/>
                          </w:rPr>
                          <w:t>tenancy.officers@nuneatonandbedworth.gov.uk</w:t>
                        </w:r>
                      </w:hyperlink>
                      <w:r w:rsidRPr="00D10515">
                        <w:rPr>
                          <w:rFonts w:ascii="Verdana" w:hAnsi="Verdana" w:cs="Arial"/>
                          <w:i/>
                          <w:iCs/>
                        </w:rPr>
                        <w:t xml:space="preserve"> </w:t>
                      </w:r>
                    </w:p>
                    <w:p w14:paraId="7D58685F" w14:textId="77777777" w:rsidR="00A009FA" w:rsidRPr="009F4399" w:rsidRDefault="00A009FA" w:rsidP="00A009FA">
                      <w:pPr>
                        <w:jc w:val="center"/>
                        <w:rPr>
                          <w:rFonts w:ascii="Arial" w:hAnsi="Arial" w:cs="Arial"/>
                          <w:i/>
                          <w:iCs/>
                          <w:sz w:val="24"/>
                          <w:szCs w:val="24"/>
                        </w:rPr>
                      </w:pPr>
                      <w:r w:rsidRPr="00A009FA">
                        <w:rPr>
                          <w:rFonts w:ascii="Arial" w:hAnsi="Arial" w:cs="Arial"/>
                          <w:i/>
                          <w:iCs/>
                          <w:noProof/>
                          <w:sz w:val="24"/>
                          <w:szCs w:val="24"/>
                        </w:rPr>
                        <w:drawing>
                          <wp:inline distT="0" distB="0" distL="0" distR="0" wp14:anchorId="3A66306D" wp14:editId="7D5C96BE">
                            <wp:extent cx="5624466" cy="54610"/>
                            <wp:effectExtent l="0" t="0" r="0" b="2540"/>
                            <wp:docPr id="3264999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V="1">
                                      <a:off x="0" y="0"/>
                                      <a:ext cx="5786286" cy="56181"/>
                                    </a:xfrm>
                                    <a:prstGeom prst="rect">
                                      <a:avLst/>
                                    </a:prstGeom>
                                    <a:noFill/>
                                    <a:ln>
                                      <a:noFill/>
                                    </a:ln>
                                  </pic:spPr>
                                </pic:pic>
                              </a:graphicData>
                            </a:graphic>
                          </wp:inline>
                        </w:drawing>
                      </w:r>
                    </w:p>
                  </w:txbxContent>
                </v:textbox>
                <w10:wrap anchorx="margin"/>
              </v:shape>
            </w:pict>
          </mc:Fallback>
        </mc:AlternateContent>
      </w:r>
    </w:p>
    <w:sectPr w:rsidR="00927686" w:rsidSect="00BE746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549BD" w14:textId="77777777" w:rsidR="008D3BF9" w:rsidRDefault="008D3BF9" w:rsidP="007C7613">
      <w:pPr>
        <w:spacing w:after="0" w:line="240" w:lineRule="auto"/>
      </w:pPr>
      <w:r>
        <w:separator/>
      </w:r>
    </w:p>
  </w:endnote>
  <w:endnote w:type="continuationSeparator" w:id="0">
    <w:p w14:paraId="413695E5" w14:textId="77777777" w:rsidR="008D3BF9" w:rsidRDefault="008D3BF9" w:rsidP="007C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2951" w14:textId="77777777" w:rsidR="00D10515" w:rsidRDefault="00D10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3B94" w14:textId="6843837D" w:rsidR="00BE746E" w:rsidRPr="00BE746E" w:rsidRDefault="00954D3D" w:rsidP="00D10515">
    <w:pPr>
      <w:pStyle w:val="Footer"/>
      <w:jc w:val="center"/>
      <w:rPr>
        <w:rFonts w:ascii="Arial" w:hAnsi="Arial" w:cs="Arial"/>
        <w:sz w:val="20"/>
        <w:szCs w:val="20"/>
      </w:rPr>
    </w:pPr>
    <w:r>
      <w:rPr>
        <w:rFonts w:ascii="Arial" w:hAnsi="Arial" w:cs="Arial"/>
        <w:sz w:val="20"/>
        <w:szCs w:val="20"/>
      </w:rPr>
      <w:t>Mutual Exchange</w:t>
    </w:r>
    <w:r w:rsidR="00D10515">
      <w:rPr>
        <w:rFonts w:ascii="Arial" w:hAnsi="Arial" w:cs="Arial"/>
        <w:sz w:val="20"/>
        <w:szCs w:val="20"/>
      </w:rPr>
      <w:t xml:space="preserve"> Policy 2025</w:t>
    </w:r>
  </w:p>
  <w:p w14:paraId="1A622981" w14:textId="6D818CBA" w:rsidR="00D10515" w:rsidRDefault="00D10515" w:rsidP="00D10515">
    <w:pPr>
      <w:pStyle w:val="Footer"/>
      <w:jc w:val="center"/>
      <w:rPr>
        <w:rFonts w:ascii="Arial" w:hAnsi="Arial" w:cs="Arial"/>
        <w:sz w:val="20"/>
        <w:szCs w:val="20"/>
      </w:rPr>
    </w:pPr>
    <w:hyperlink r:id="rId1" w:history="1">
      <w:r w:rsidRPr="00E51848">
        <w:rPr>
          <w:rStyle w:val="Hyperlink"/>
          <w:rFonts w:ascii="Arial" w:hAnsi="Arial" w:cs="Arial"/>
          <w:sz w:val="20"/>
          <w:szCs w:val="20"/>
        </w:rPr>
        <w:t>www.nuneatonandbedworth.gov.uk</w:t>
      </w:r>
    </w:hyperlink>
  </w:p>
  <w:p w14:paraId="56E08643" w14:textId="1DF6A69A" w:rsidR="007C7613" w:rsidRPr="00BE746E" w:rsidRDefault="00BE746E" w:rsidP="00D10515">
    <w:pPr>
      <w:pStyle w:val="Footer"/>
      <w:jc w:val="right"/>
      <w:rPr>
        <w:rFonts w:ascii="Arial" w:hAnsi="Arial" w:cs="Arial"/>
        <w:sz w:val="20"/>
        <w:szCs w:val="20"/>
      </w:rPr>
    </w:pPr>
    <w:r>
      <w:rPr>
        <w:rFonts w:ascii="Arial" w:hAnsi="Arial" w:cs="Arial"/>
        <w:sz w:val="20"/>
        <w:szCs w:val="20"/>
      </w:rPr>
      <w:tab/>
    </w:r>
    <w:sdt>
      <w:sdtPr>
        <w:id w:val="400490248"/>
        <w:docPartObj>
          <w:docPartGallery w:val="Page Numbers (Bottom of Page)"/>
          <w:docPartUnique/>
        </w:docPartObj>
      </w:sdtPr>
      <w:sdtEndPr>
        <w:rPr>
          <w:rFonts w:ascii="Arial" w:hAnsi="Arial" w:cs="Arial"/>
          <w:sz w:val="20"/>
          <w:szCs w:val="20"/>
        </w:rPr>
      </w:sdtEndPr>
      <w:sdtContent>
        <w:r w:rsidRPr="00BE746E">
          <w:rPr>
            <w:rFonts w:ascii="Arial" w:hAnsi="Arial" w:cs="Arial"/>
            <w:sz w:val="20"/>
            <w:szCs w:val="20"/>
          </w:rPr>
          <w:fldChar w:fldCharType="begin"/>
        </w:r>
        <w:r w:rsidRPr="00BE746E">
          <w:rPr>
            <w:rFonts w:ascii="Arial" w:hAnsi="Arial" w:cs="Arial"/>
            <w:sz w:val="20"/>
            <w:szCs w:val="20"/>
          </w:rPr>
          <w:instrText>PAGE   \* MERGEFORMAT</w:instrText>
        </w:r>
        <w:r w:rsidRPr="00BE746E">
          <w:rPr>
            <w:rFonts w:ascii="Arial" w:hAnsi="Arial" w:cs="Arial"/>
            <w:sz w:val="20"/>
            <w:szCs w:val="20"/>
          </w:rPr>
          <w:fldChar w:fldCharType="separate"/>
        </w:r>
        <w:r>
          <w:rPr>
            <w:rFonts w:ascii="Arial" w:hAnsi="Arial" w:cs="Arial"/>
            <w:sz w:val="20"/>
            <w:szCs w:val="20"/>
          </w:rPr>
          <w:t>1</w:t>
        </w:r>
        <w:r w:rsidRPr="00BE746E">
          <w:rPr>
            <w:rFonts w:ascii="Arial" w:hAnsi="Arial" w:cs="Arial"/>
            <w:sz w:val="20"/>
            <w:szCs w:val="20"/>
          </w:rPr>
          <w:fldChar w:fldCharType="end"/>
        </w:r>
      </w:sdtContent>
    </w:sdt>
  </w:p>
  <w:p w14:paraId="7E8BAEF3" w14:textId="301238BC" w:rsidR="007C7613" w:rsidRPr="00BE746E" w:rsidRDefault="007C7613">
    <w:pPr>
      <w:pStyle w:val="Footer"/>
      <w:rPr>
        <w:rFonts w:ascii="Arial" w:hAnsi="Arial" w:cs="Arial"/>
        <w:sz w:val="20"/>
        <w:szCs w:val="20"/>
      </w:rPr>
    </w:pPr>
    <w:r w:rsidRPr="00BE746E">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D158" w14:textId="77777777" w:rsidR="00D10515" w:rsidRDefault="00D10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222A" w14:textId="77777777" w:rsidR="008D3BF9" w:rsidRDefault="008D3BF9" w:rsidP="007C7613">
      <w:pPr>
        <w:spacing w:after="0" w:line="240" w:lineRule="auto"/>
      </w:pPr>
      <w:r>
        <w:separator/>
      </w:r>
    </w:p>
  </w:footnote>
  <w:footnote w:type="continuationSeparator" w:id="0">
    <w:p w14:paraId="4C0E28B8" w14:textId="77777777" w:rsidR="008D3BF9" w:rsidRDefault="008D3BF9" w:rsidP="007C7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CA21" w14:textId="6D6366C5" w:rsidR="00D10515" w:rsidRDefault="005D0574">
    <w:pPr>
      <w:pStyle w:val="Header"/>
    </w:pPr>
    <w:r>
      <w:rPr>
        <w:noProof/>
      </w:rPr>
      <w:pict w14:anchorId="17F6A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391" o:spid="_x0000_s1029" type="#_x0000_t136" style="position:absolute;margin-left:0;margin-top:0;width:549.9pt;height:109.95pt;rotation:315;z-index:-251655168;mso-position-horizontal:center;mso-position-horizontal-relative:margin;mso-position-vertical:center;mso-position-vertical-relative:margin" o:allowincell="f" fillcolor="#ff7c80" stroked="f">
          <v:fill opacity=".5"/>
          <v:textpath style="font-family:&quot;Verdana&quot;;font-size:1pt" string="D R A F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EB9B" w14:textId="138D2A64" w:rsidR="00D10515" w:rsidRDefault="005D0574">
    <w:pPr>
      <w:pStyle w:val="Header"/>
    </w:pPr>
    <w:r>
      <w:rPr>
        <w:noProof/>
      </w:rPr>
      <w:pict w14:anchorId="0A73B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392" o:spid="_x0000_s1030" type="#_x0000_t136" style="position:absolute;margin-left:0;margin-top:0;width:549.9pt;height:109.95pt;rotation:315;z-index:-251653120;mso-position-horizontal:center;mso-position-horizontal-relative:margin;mso-position-vertical:center;mso-position-vertical-relative:margin" o:allowincell="f" fillcolor="#ff7c80" stroked="f">
          <v:fill opacity=".5"/>
          <v:textpath style="font-family:&quot;Verdana&quot;;font-size:1pt" string="D R A F 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FD2B" w14:textId="689208A7" w:rsidR="00D10515" w:rsidRDefault="005D0574">
    <w:pPr>
      <w:pStyle w:val="Header"/>
    </w:pPr>
    <w:r>
      <w:rPr>
        <w:noProof/>
      </w:rPr>
      <w:pict w14:anchorId="0B842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390" o:spid="_x0000_s1028" type="#_x0000_t136" style="position:absolute;margin-left:0;margin-top:0;width:549.9pt;height:109.95pt;rotation:315;z-index:-251657216;mso-position-horizontal:center;mso-position-horizontal-relative:margin;mso-position-vertical:center;mso-position-vertical-relative:margin" o:allowincell="f" fillcolor="#ff7c80" stroked="f">
          <v:fill opacity=".5"/>
          <v:textpath style="font-family:&quot;Verdana&quot;;font-size:1pt" string="D R A F 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8"/>
    <w:multiLevelType w:val="hybridMultilevel"/>
    <w:tmpl w:val="D4926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3E7C"/>
    <w:multiLevelType w:val="hybridMultilevel"/>
    <w:tmpl w:val="9506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7212D"/>
    <w:multiLevelType w:val="hybridMultilevel"/>
    <w:tmpl w:val="FE88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57111"/>
    <w:multiLevelType w:val="hybridMultilevel"/>
    <w:tmpl w:val="D54EA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843D6"/>
    <w:multiLevelType w:val="hybridMultilevel"/>
    <w:tmpl w:val="7B76D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540DB"/>
    <w:multiLevelType w:val="hybridMultilevel"/>
    <w:tmpl w:val="A4968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2430B"/>
    <w:multiLevelType w:val="hybridMultilevel"/>
    <w:tmpl w:val="8CC037A4"/>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7" w15:restartNumberingAfterBreak="0">
    <w:nsid w:val="28076004"/>
    <w:multiLevelType w:val="hybridMultilevel"/>
    <w:tmpl w:val="9D7AE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55610"/>
    <w:multiLevelType w:val="hybridMultilevel"/>
    <w:tmpl w:val="E4EA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F61C8"/>
    <w:multiLevelType w:val="hybridMultilevel"/>
    <w:tmpl w:val="DCF8B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D09A1"/>
    <w:multiLevelType w:val="hybridMultilevel"/>
    <w:tmpl w:val="51A8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1072CE"/>
    <w:multiLevelType w:val="hybridMultilevel"/>
    <w:tmpl w:val="4600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43782"/>
    <w:multiLevelType w:val="hybridMultilevel"/>
    <w:tmpl w:val="6A2C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570781"/>
    <w:multiLevelType w:val="hybridMultilevel"/>
    <w:tmpl w:val="07F6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55243"/>
    <w:multiLevelType w:val="hybridMultilevel"/>
    <w:tmpl w:val="1276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30AE5"/>
    <w:multiLevelType w:val="hybridMultilevel"/>
    <w:tmpl w:val="6006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201338"/>
    <w:multiLevelType w:val="hybridMultilevel"/>
    <w:tmpl w:val="025E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A6A1D"/>
    <w:multiLevelType w:val="hybridMultilevel"/>
    <w:tmpl w:val="6CB28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817B8C"/>
    <w:multiLevelType w:val="hybridMultilevel"/>
    <w:tmpl w:val="05DA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472DAC"/>
    <w:multiLevelType w:val="hybridMultilevel"/>
    <w:tmpl w:val="D46E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767B3F"/>
    <w:multiLevelType w:val="hybridMultilevel"/>
    <w:tmpl w:val="F608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9534A"/>
    <w:multiLevelType w:val="hybridMultilevel"/>
    <w:tmpl w:val="0C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96707A"/>
    <w:multiLevelType w:val="hybridMultilevel"/>
    <w:tmpl w:val="76507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17ED9"/>
    <w:multiLevelType w:val="hybridMultilevel"/>
    <w:tmpl w:val="21B6B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F365DC"/>
    <w:multiLevelType w:val="hybridMultilevel"/>
    <w:tmpl w:val="006C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5416554">
    <w:abstractNumId w:val="15"/>
  </w:num>
  <w:num w:numId="2" w16cid:durableId="169031769">
    <w:abstractNumId w:val="21"/>
  </w:num>
  <w:num w:numId="3" w16cid:durableId="2035110463">
    <w:abstractNumId w:val="2"/>
  </w:num>
  <w:num w:numId="4" w16cid:durableId="1693605872">
    <w:abstractNumId w:val="12"/>
  </w:num>
  <w:num w:numId="5" w16cid:durableId="1122462457">
    <w:abstractNumId w:val="4"/>
  </w:num>
  <w:num w:numId="6" w16cid:durableId="1963880409">
    <w:abstractNumId w:val="7"/>
  </w:num>
  <w:num w:numId="7" w16cid:durableId="1720546498">
    <w:abstractNumId w:val="1"/>
  </w:num>
  <w:num w:numId="8" w16cid:durableId="575169454">
    <w:abstractNumId w:val="13"/>
  </w:num>
  <w:num w:numId="9" w16cid:durableId="2071923213">
    <w:abstractNumId w:val="10"/>
  </w:num>
  <w:num w:numId="10" w16cid:durableId="1005130614">
    <w:abstractNumId w:val="14"/>
  </w:num>
  <w:num w:numId="11" w16cid:durableId="1846675199">
    <w:abstractNumId w:val="0"/>
  </w:num>
  <w:num w:numId="12" w16cid:durableId="1067653185">
    <w:abstractNumId w:val="5"/>
  </w:num>
  <w:num w:numId="13" w16cid:durableId="1226918526">
    <w:abstractNumId w:val="20"/>
  </w:num>
  <w:num w:numId="14" w16cid:durableId="1776320059">
    <w:abstractNumId w:val="16"/>
  </w:num>
  <w:num w:numId="15" w16cid:durableId="1778938226">
    <w:abstractNumId w:val="22"/>
  </w:num>
  <w:num w:numId="16" w16cid:durableId="1250115290">
    <w:abstractNumId w:val="24"/>
  </w:num>
  <w:num w:numId="17" w16cid:durableId="1517579744">
    <w:abstractNumId w:val="19"/>
  </w:num>
  <w:num w:numId="18" w16cid:durableId="1523742828">
    <w:abstractNumId w:val="3"/>
  </w:num>
  <w:num w:numId="19" w16cid:durableId="76364155">
    <w:abstractNumId w:val="17"/>
  </w:num>
  <w:num w:numId="20" w16cid:durableId="165290162">
    <w:abstractNumId w:val="23"/>
  </w:num>
  <w:num w:numId="21" w16cid:durableId="1212571206">
    <w:abstractNumId w:val="18"/>
  </w:num>
  <w:num w:numId="22" w16cid:durableId="90661157">
    <w:abstractNumId w:val="6"/>
  </w:num>
  <w:num w:numId="23" w16cid:durableId="1966085632">
    <w:abstractNumId w:val="8"/>
  </w:num>
  <w:num w:numId="24" w16cid:durableId="1243294403">
    <w:abstractNumId w:val="11"/>
  </w:num>
  <w:num w:numId="25" w16cid:durableId="2092850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7F"/>
    <w:rsid w:val="00007ABC"/>
    <w:rsid w:val="000114A9"/>
    <w:rsid w:val="00035508"/>
    <w:rsid w:val="00041F65"/>
    <w:rsid w:val="00045124"/>
    <w:rsid w:val="00052075"/>
    <w:rsid w:val="000D5C7A"/>
    <w:rsid w:val="000E1181"/>
    <w:rsid w:val="000E33FD"/>
    <w:rsid w:val="0010176C"/>
    <w:rsid w:val="00102742"/>
    <w:rsid w:val="001171E7"/>
    <w:rsid w:val="00126029"/>
    <w:rsid w:val="0015718F"/>
    <w:rsid w:val="00161564"/>
    <w:rsid w:val="00165CA4"/>
    <w:rsid w:val="0018708A"/>
    <w:rsid w:val="0019525C"/>
    <w:rsid w:val="001A12FA"/>
    <w:rsid w:val="001B6FA5"/>
    <w:rsid w:val="001D49D7"/>
    <w:rsid w:val="001E0F10"/>
    <w:rsid w:val="001E69E1"/>
    <w:rsid w:val="001F2692"/>
    <w:rsid w:val="0023137E"/>
    <w:rsid w:val="002358B6"/>
    <w:rsid w:val="00240088"/>
    <w:rsid w:val="002621BC"/>
    <w:rsid w:val="00272460"/>
    <w:rsid w:val="00277D58"/>
    <w:rsid w:val="002B4FCD"/>
    <w:rsid w:val="002C2C2F"/>
    <w:rsid w:val="002C57F3"/>
    <w:rsid w:val="002C7A88"/>
    <w:rsid w:val="002F352B"/>
    <w:rsid w:val="002F7F6D"/>
    <w:rsid w:val="0030238A"/>
    <w:rsid w:val="00313DDA"/>
    <w:rsid w:val="00320A3E"/>
    <w:rsid w:val="00381C34"/>
    <w:rsid w:val="00384B4E"/>
    <w:rsid w:val="003972CB"/>
    <w:rsid w:val="003A13AA"/>
    <w:rsid w:val="003A37B6"/>
    <w:rsid w:val="003A7D85"/>
    <w:rsid w:val="003B5C99"/>
    <w:rsid w:val="003C4BE8"/>
    <w:rsid w:val="003C7C50"/>
    <w:rsid w:val="003D2166"/>
    <w:rsid w:val="003E05D6"/>
    <w:rsid w:val="003E4158"/>
    <w:rsid w:val="003F2733"/>
    <w:rsid w:val="00401F52"/>
    <w:rsid w:val="0041034A"/>
    <w:rsid w:val="00415FA3"/>
    <w:rsid w:val="0041705D"/>
    <w:rsid w:val="00431436"/>
    <w:rsid w:val="004577E0"/>
    <w:rsid w:val="004758AD"/>
    <w:rsid w:val="0048607F"/>
    <w:rsid w:val="00486B86"/>
    <w:rsid w:val="004B65BC"/>
    <w:rsid w:val="004C07F9"/>
    <w:rsid w:val="004D5FED"/>
    <w:rsid w:val="004D7A8C"/>
    <w:rsid w:val="004F017F"/>
    <w:rsid w:val="004F066C"/>
    <w:rsid w:val="005237AA"/>
    <w:rsid w:val="00531224"/>
    <w:rsid w:val="005417CB"/>
    <w:rsid w:val="00575D70"/>
    <w:rsid w:val="00585D61"/>
    <w:rsid w:val="00587211"/>
    <w:rsid w:val="0059340E"/>
    <w:rsid w:val="00595EAB"/>
    <w:rsid w:val="005A3279"/>
    <w:rsid w:val="005A7DA6"/>
    <w:rsid w:val="005C0525"/>
    <w:rsid w:val="005C3352"/>
    <w:rsid w:val="005C6D80"/>
    <w:rsid w:val="005D0574"/>
    <w:rsid w:val="005D4E87"/>
    <w:rsid w:val="005F641C"/>
    <w:rsid w:val="00601BBC"/>
    <w:rsid w:val="006116F2"/>
    <w:rsid w:val="0061249E"/>
    <w:rsid w:val="0062522F"/>
    <w:rsid w:val="00626083"/>
    <w:rsid w:val="006472C7"/>
    <w:rsid w:val="00647CAD"/>
    <w:rsid w:val="006714D5"/>
    <w:rsid w:val="0067477E"/>
    <w:rsid w:val="006872AF"/>
    <w:rsid w:val="006D431D"/>
    <w:rsid w:val="006E6BFC"/>
    <w:rsid w:val="006F567F"/>
    <w:rsid w:val="00715414"/>
    <w:rsid w:val="00726243"/>
    <w:rsid w:val="0074164C"/>
    <w:rsid w:val="0075264C"/>
    <w:rsid w:val="0077226E"/>
    <w:rsid w:val="007C1EFC"/>
    <w:rsid w:val="007C2D41"/>
    <w:rsid w:val="007C7613"/>
    <w:rsid w:val="007E5135"/>
    <w:rsid w:val="007F03C9"/>
    <w:rsid w:val="007F4B99"/>
    <w:rsid w:val="007F5678"/>
    <w:rsid w:val="00824D51"/>
    <w:rsid w:val="008327C0"/>
    <w:rsid w:val="00832849"/>
    <w:rsid w:val="00835036"/>
    <w:rsid w:val="008425CB"/>
    <w:rsid w:val="008D3BF9"/>
    <w:rsid w:val="008F5D4B"/>
    <w:rsid w:val="00906AD4"/>
    <w:rsid w:val="00910550"/>
    <w:rsid w:val="0092385E"/>
    <w:rsid w:val="00927686"/>
    <w:rsid w:val="00931059"/>
    <w:rsid w:val="00942977"/>
    <w:rsid w:val="00950BAD"/>
    <w:rsid w:val="00954D3D"/>
    <w:rsid w:val="00957C52"/>
    <w:rsid w:val="00987FF4"/>
    <w:rsid w:val="009949AD"/>
    <w:rsid w:val="009A31F7"/>
    <w:rsid w:val="009B2AB1"/>
    <w:rsid w:val="009B4C8F"/>
    <w:rsid w:val="009B72B1"/>
    <w:rsid w:val="009C6107"/>
    <w:rsid w:val="009C6D4E"/>
    <w:rsid w:val="009F216B"/>
    <w:rsid w:val="009F2CD8"/>
    <w:rsid w:val="009F4399"/>
    <w:rsid w:val="009F6C3D"/>
    <w:rsid w:val="00A009FA"/>
    <w:rsid w:val="00A1459F"/>
    <w:rsid w:val="00A1598F"/>
    <w:rsid w:val="00A21701"/>
    <w:rsid w:val="00A261AA"/>
    <w:rsid w:val="00A53D29"/>
    <w:rsid w:val="00A66A50"/>
    <w:rsid w:val="00A75ED2"/>
    <w:rsid w:val="00AA0448"/>
    <w:rsid w:val="00AB24C8"/>
    <w:rsid w:val="00AC084D"/>
    <w:rsid w:val="00AC0922"/>
    <w:rsid w:val="00AD06CB"/>
    <w:rsid w:val="00AF6B76"/>
    <w:rsid w:val="00B20C97"/>
    <w:rsid w:val="00B2118F"/>
    <w:rsid w:val="00B26C3B"/>
    <w:rsid w:val="00B30E9C"/>
    <w:rsid w:val="00B41021"/>
    <w:rsid w:val="00B81A93"/>
    <w:rsid w:val="00B96713"/>
    <w:rsid w:val="00BA39FA"/>
    <w:rsid w:val="00BA79BE"/>
    <w:rsid w:val="00BB1B14"/>
    <w:rsid w:val="00BB47A9"/>
    <w:rsid w:val="00BB4910"/>
    <w:rsid w:val="00BD4F0B"/>
    <w:rsid w:val="00BE746E"/>
    <w:rsid w:val="00BF0D58"/>
    <w:rsid w:val="00BF7D70"/>
    <w:rsid w:val="00C22296"/>
    <w:rsid w:val="00C30FE5"/>
    <w:rsid w:val="00C32CF7"/>
    <w:rsid w:val="00C5783C"/>
    <w:rsid w:val="00C67E57"/>
    <w:rsid w:val="00C87BFB"/>
    <w:rsid w:val="00C93FF0"/>
    <w:rsid w:val="00C96CCC"/>
    <w:rsid w:val="00CB4DEC"/>
    <w:rsid w:val="00CC5DFD"/>
    <w:rsid w:val="00CC7565"/>
    <w:rsid w:val="00CC7946"/>
    <w:rsid w:val="00CD15F0"/>
    <w:rsid w:val="00CD7201"/>
    <w:rsid w:val="00CE555C"/>
    <w:rsid w:val="00CF3FB6"/>
    <w:rsid w:val="00CF57DC"/>
    <w:rsid w:val="00D10515"/>
    <w:rsid w:val="00D1603A"/>
    <w:rsid w:val="00D205CC"/>
    <w:rsid w:val="00D43CC7"/>
    <w:rsid w:val="00D443B1"/>
    <w:rsid w:val="00D57C68"/>
    <w:rsid w:val="00D64097"/>
    <w:rsid w:val="00D76753"/>
    <w:rsid w:val="00D84FDA"/>
    <w:rsid w:val="00D95266"/>
    <w:rsid w:val="00DA2CE7"/>
    <w:rsid w:val="00DC0FFB"/>
    <w:rsid w:val="00DC3CD6"/>
    <w:rsid w:val="00DD1311"/>
    <w:rsid w:val="00DD662C"/>
    <w:rsid w:val="00E0110E"/>
    <w:rsid w:val="00E0154C"/>
    <w:rsid w:val="00E26739"/>
    <w:rsid w:val="00E659F0"/>
    <w:rsid w:val="00EA18E1"/>
    <w:rsid w:val="00EB3547"/>
    <w:rsid w:val="00ED4F4D"/>
    <w:rsid w:val="00ED6AC1"/>
    <w:rsid w:val="00F15ACE"/>
    <w:rsid w:val="00F1604E"/>
    <w:rsid w:val="00F17C58"/>
    <w:rsid w:val="00F22445"/>
    <w:rsid w:val="00F60927"/>
    <w:rsid w:val="00F722A7"/>
    <w:rsid w:val="00F85564"/>
    <w:rsid w:val="00FA1D0B"/>
    <w:rsid w:val="00FA5287"/>
    <w:rsid w:val="00FB6378"/>
    <w:rsid w:val="00FF578B"/>
    <w:rsid w:val="4330B5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70A5"/>
  <w15:chartTrackingRefBased/>
  <w15:docId w15:val="{2B136B2F-ADB9-45D3-A7EA-3D91E05E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99"/>
  </w:style>
  <w:style w:type="paragraph" w:styleId="Heading1">
    <w:name w:val="heading 1"/>
    <w:basedOn w:val="Normal"/>
    <w:next w:val="Normal"/>
    <w:link w:val="Heading1Char"/>
    <w:uiPriority w:val="9"/>
    <w:qFormat/>
    <w:rsid w:val="007C76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6F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61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C7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613"/>
  </w:style>
  <w:style w:type="paragraph" w:styleId="Footer">
    <w:name w:val="footer"/>
    <w:basedOn w:val="Normal"/>
    <w:link w:val="FooterChar"/>
    <w:uiPriority w:val="99"/>
    <w:unhideWhenUsed/>
    <w:rsid w:val="007C7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613"/>
  </w:style>
  <w:style w:type="paragraph" w:styleId="NoSpacing">
    <w:name w:val="No Spacing"/>
    <w:link w:val="NoSpacingChar"/>
    <w:uiPriority w:val="1"/>
    <w:qFormat/>
    <w:rsid w:val="00BE746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E746E"/>
    <w:rPr>
      <w:rFonts w:eastAsiaTheme="minorEastAsia"/>
      <w:lang w:val="en-US"/>
    </w:rPr>
  </w:style>
  <w:style w:type="character" w:customStyle="1" w:styleId="Heading2Char">
    <w:name w:val="Heading 2 Char"/>
    <w:basedOn w:val="DefaultParagraphFont"/>
    <w:link w:val="Heading2"/>
    <w:uiPriority w:val="9"/>
    <w:rsid w:val="001B6FA5"/>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B6FA5"/>
    <w:pPr>
      <w:outlineLvl w:val="9"/>
    </w:pPr>
    <w:rPr>
      <w:lang w:eastAsia="en-GB"/>
    </w:rPr>
  </w:style>
  <w:style w:type="paragraph" w:styleId="TOC1">
    <w:name w:val="toc 1"/>
    <w:basedOn w:val="Normal"/>
    <w:next w:val="Normal"/>
    <w:autoRedefine/>
    <w:uiPriority w:val="39"/>
    <w:unhideWhenUsed/>
    <w:rsid w:val="001B6FA5"/>
    <w:pPr>
      <w:spacing w:after="100"/>
    </w:pPr>
  </w:style>
  <w:style w:type="paragraph" w:styleId="TOC2">
    <w:name w:val="toc 2"/>
    <w:basedOn w:val="Normal"/>
    <w:next w:val="Normal"/>
    <w:autoRedefine/>
    <w:uiPriority w:val="39"/>
    <w:unhideWhenUsed/>
    <w:rsid w:val="001B6FA5"/>
    <w:pPr>
      <w:spacing w:after="100"/>
      <w:ind w:left="220"/>
    </w:pPr>
  </w:style>
  <w:style w:type="character" w:styleId="Hyperlink">
    <w:name w:val="Hyperlink"/>
    <w:basedOn w:val="DefaultParagraphFont"/>
    <w:uiPriority w:val="99"/>
    <w:unhideWhenUsed/>
    <w:rsid w:val="001B6FA5"/>
    <w:rPr>
      <w:color w:val="0563C1" w:themeColor="hyperlink"/>
      <w:u w:val="single"/>
    </w:rPr>
  </w:style>
  <w:style w:type="table" w:styleId="TableGrid">
    <w:name w:val="Table Grid"/>
    <w:basedOn w:val="TableNormal"/>
    <w:uiPriority w:val="59"/>
    <w:rsid w:val="001B6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0515"/>
    <w:rPr>
      <w:color w:val="605E5C"/>
      <w:shd w:val="clear" w:color="auto" w:fill="E1DFDD"/>
    </w:rPr>
  </w:style>
  <w:style w:type="paragraph" w:styleId="ListParagraph">
    <w:name w:val="List Paragraph"/>
    <w:basedOn w:val="Normal"/>
    <w:uiPriority w:val="34"/>
    <w:qFormat/>
    <w:rsid w:val="00726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uneatonandbedworth.gov.uk/mutual-exchang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homeswapper.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ancy.officers@nuneatonandbedworth.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enancy.officers@nuneatonandbedworth.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nuneatonandbedworth.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lpo\Downloads\Corporate%20document%20template%2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2025-07-01T00:00:00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2A15B1A69BE34A945456D367B99888" ma:contentTypeVersion="11" ma:contentTypeDescription="Create a new document." ma:contentTypeScope="" ma:versionID="2d2e3dcf0f18680777aa28b31a979ef8">
  <xsd:schema xmlns:xsd="http://www.w3.org/2001/XMLSchema" xmlns:xs="http://www.w3.org/2001/XMLSchema" xmlns:p="http://schemas.microsoft.com/office/2006/metadata/properties" xmlns:ns2="b6181d70-7a83-40fe-a6aa-c58bb4f6830c" xmlns:ns3="6d76c6a7-45e3-49aa-8c80-faafc93fc42a" targetNamespace="http://schemas.microsoft.com/office/2006/metadata/properties" ma:root="true" ma:fieldsID="5e7d7ed20acb1d80c227c2b4f6c6a5cb" ns2:_="" ns3:_="">
    <xsd:import namespace="b6181d70-7a83-40fe-a6aa-c58bb4f6830c"/>
    <xsd:import namespace="6d76c6a7-45e3-49aa-8c80-faafc93fc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81d70-7a83-40fe-a6aa-c58bb4f68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8065fc-fe8d-4f41-ba03-0f25e541eb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6c6a7-45e3-49aa-8c80-faafc93fc4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b7933b-cc64-4660-bd73-95d5563d4b1c}" ma:internalName="TaxCatchAll" ma:showField="CatchAllData" ma:web="6d76c6a7-45e3-49aa-8c80-faafc93fc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76c6a7-45e3-49aa-8c80-faafc93fc42a" xsi:nil="true"/>
    <lcf76f155ced4ddcb4097134ff3c332f xmlns="b6181d70-7a83-40fe-a6aa-c58bb4f6830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2AEBCB-ED59-4E96-A227-522D3CD92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81d70-7a83-40fe-a6aa-c58bb4f6830c"/>
    <ds:schemaRef ds:uri="6d76c6a7-45e3-49aa-8c80-faafc93fc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59E10-04F1-4A70-B5BF-A27C41458E39}">
  <ds:schemaRefs>
    <ds:schemaRef ds:uri="http://schemas.microsoft.com/sharepoint/v3/contenttype/forms"/>
  </ds:schemaRefs>
</ds:datastoreItem>
</file>

<file path=customXml/itemProps4.xml><?xml version="1.0" encoding="utf-8"?>
<ds:datastoreItem xmlns:ds="http://schemas.openxmlformats.org/officeDocument/2006/customXml" ds:itemID="{0A68D87B-50D2-46A0-ABE4-54F78D0469C5}">
  <ds:schemaRefs>
    <ds:schemaRef ds:uri="http://www.w3.org/XML/1998/namespace"/>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6d76c6a7-45e3-49aa-8c80-faafc93fc42a"/>
    <ds:schemaRef ds:uri="b6181d70-7a83-40fe-a6aa-c58bb4f6830c"/>
  </ds:schemaRefs>
</ds:datastoreItem>
</file>

<file path=customXml/itemProps5.xml><?xml version="1.0" encoding="utf-8"?>
<ds:datastoreItem xmlns:ds="http://schemas.openxmlformats.org/officeDocument/2006/customXml" ds:itemID="{4844794E-48A5-4814-808A-100480568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Corporate document template A</Template>
  <TotalTime>80</TotalTime>
  <Pages>13</Pages>
  <Words>2940</Words>
  <Characters>16083</Characters>
  <Application>Microsoft Office Word</Application>
  <DocSecurity>0</DocSecurity>
  <Lines>618</Lines>
  <Paragraphs>345</Paragraphs>
  <ScaleCrop>false</ScaleCrop>
  <HeadingPairs>
    <vt:vector size="2" baseType="variant">
      <vt:variant>
        <vt:lpstr>Title</vt:lpstr>
      </vt:variant>
      <vt:variant>
        <vt:i4>1</vt:i4>
      </vt:variant>
    </vt:vector>
  </HeadingPairs>
  <TitlesOfParts>
    <vt:vector size="1" baseType="lpstr">
      <vt:lpstr/>
    </vt:vector>
  </TitlesOfParts>
  <Company>Nuneaton and Bedworth        Borough Council</Company>
  <LinksUpToDate>false</LinksUpToDate>
  <CharactersWithSpaces>18678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Housing &amp; Community Safety</dc:creator>
  <cp:keywords/>
  <dc:description/>
  <cp:lastModifiedBy>Kayleigh Garner</cp:lastModifiedBy>
  <cp:revision>3</cp:revision>
  <dcterms:created xsi:type="dcterms:W3CDTF">2025-09-10T20:37:00Z</dcterms:created>
  <dcterms:modified xsi:type="dcterms:W3CDTF">2025-09-22T10:14:00Z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0x0101006C2A15B1A69BE34A945456D367B99888</vt:lpwstr>
  </property>
</Properties>
</file>