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5256" w14:textId="5D49DA1D" w:rsidR="00F43210" w:rsidRPr="008424E7" w:rsidRDefault="00F43210" w:rsidP="00F43210">
      <w:pPr>
        <w:pStyle w:val="Title"/>
        <w:ind w:left="1440"/>
        <w:rPr>
          <w:rFonts w:ascii="Arial" w:eastAsiaTheme="minorEastAsia" w:hAnsi="Arial" w:cs="Arial"/>
          <w:b/>
          <w:bCs/>
          <w:sz w:val="28"/>
          <w:szCs w:val="28"/>
        </w:rPr>
      </w:pPr>
      <w:r w:rsidRPr="008424E7">
        <w:rPr>
          <w:rFonts w:ascii="Arial" w:eastAsiaTheme="minorEastAsia" w:hAnsi="Arial" w:cs="Arial"/>
          <w:b/>
          <w:bCs/>
          <w:sz w:val="28"/>
          <w:szCs w:val="28"/>
        </w:rPr>
        <w:t>Plan for Neighbourhoods</w:t>
      </w:r>
      <w:r w:rsidR="000A338C">
        <w:rPr>
          <w:rFonts w:ascii="Arial" w:eastAsiaTheme="minorEastAsia" w:hAnsi="Arial" w:cs="Arial"/>
          <w:b/>
          <w:bCs/>
          <w:sz w:val="28"/>
          <w:szCs w:val="28"/>
        </w:rPr>
        <w:t xml:space="preserve"> (</w:t>
      </w:r>
      <w:proofErr w:type="spellStart"/>
      <w:r w:rsidR="000A338C">
        <w:rPr>
          <w:rFonts w:ascii="Arial" w:eastAsiaTheme="minorEastAsia" w:hAnsi="Arial" w:cs="Arial"/>
          <w:b/>
          <w:bCs/>
          <w:sz w:val="28"/>
          <w:szCs w:val="28"/>
        </w:rPr>
        <w:t>PfN</w:t>
      </w:r>
      <w:proofErr w:type="spellEnd"/>
      <w:r w:rsidR="000A338C">
        <w:rPr>
          <w:rFonts w:ascii="Arial" w:eastAsiaTheme="minorEastAsia" w:hAnsi="Arial" w:cs="Arial"/>
          <w:b/>
          <w:bCs/>
          <w:sz w:val="28"/>
          <w:szCs w:val="28"/>
        </w:rPr>
        <w:t xml:space="preserve">) </w:t>
      </w:r>
      <w:r w:rsidRPr="008424E7">
        <w:rPr>
          <w:rFonts w:ascii="Arial" w:eastAsiaTheme="minorEastAsia" w:hAnsi="Arial" w:cs="Arial"/>
          <w:b/>
          <w:bCs/>
          <w:sz w:val="28"/>
          <w:szCs w:val="28"/>
        </w:rPr>
        <w:t xml:space="preserve">- Bedworth Board Meeting </w:t>
      </w:r>
    </w:p>
    <w:p w14:paraId="3FBF8B21" w14:textId="77777777" w:rsidR="00F43210" w:rsidRPr="008424E7" w:rsidRDefault="00F43210" w:rsidP="00F43210">
      <w:pPr>
        <w:jc w:val="center"/>
        <w:rPr>
          <w:rFonts w:ascii="Arial" w:eastAsiaTheme="minorEastAsia" w:hAnsi="Arial" w:cs="Arial"/>
          <w:sz w:val="28"/>
          <w:szCs w:val="28"/>
        </w:rPr>
      </w:pPr>
      <w:r w:rsidRPr="008424E7">
        <w:rPr>
          <w:rFonts w:ascii="Arial" w:eastAsiaTheme="minorEastAsia" w:hAnsi="Arial" w:cs="Arial"/>
          <w:sz w:val="28"/>
          <w:szCs w:val="28"/>
        </w:rPr>
        <w:t>Thursday 1</w:t>
      </w:r>
      <w:r>
        <w:rPr>
          <w:rFonts w:ascii="Arial" w:eastAsiaTheme="minorEastAsia" w:hAnsi="Arial" w:cs="Arial"/>
          <w:sz w:val="28"/>
          <w:szCs w:val="28"/>
        </w:rPr>
        <w:t>9</w:t>
      </w:r>
      <w:r w:rsidRPr="008424E7">
        <w:rPr>
          <w:rFonts w:ascii="Arial" w:eastAsiaTheme="minorEastAsia" w:hAnsi="Arial" w:cs="Arial"/>
          <w:sz w:val="28"/>
          <w:szCs w:val="28"/>
          <w:vertAlign w:val="superscript"/>
        </w:rPr>
        <w:t>th</w:t>
      </w:r>
      <w:r w:rsidRPr="008424E7">
        <w:rPr>
          <w:rFonts w:ascii="Arial" w:eastAsiaTheme="minorEastAsia" w:hAnsi="Arial" w:cs="Arial"/>
          <w:sz w:val="28"/>
          <w:szCs w:val="28"/>
        </w:rPr>
        <w:t xml:space="preserve"> June 2025, 5pm</w:t>
      </w:r>
    </w:p>
    <w:p w14:paraId="32493B51" w14:textId="77777777" w:rsidR="00F43210" w:rsidRPr="008424E7" w:rsidRDefault="00F43210" w:rsidP="00F43210">
      <w:pPr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  <w:r>
        <w:rPr>
          <w:rFonts w:ascii="Arial" w:eastAsiaTheme="minorEastAsia" w:hAnsi="Arial" w:cs="Arial"/>
          <w:sz w:val="28"/>
          <w:szCs w:val="28"/>
        </w:rPr>
        <w:t>Bedworth Ex-Servicemen`s Social Club and Institute</w:t>
      </w:r>
    </w:p>
    <w:p w14:paraId="3E757375" w14:textId="77777777" w:rsidR="00F43210" w:rsidRPr="008424E7" w:rsidRDefault="00F43210" w:rsidP="00F43210">
      <w:pPr>
        <w:ind w:firstLine="72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3ADB31F6" w14:textId="77777777" w:rsidR="00F43210" w:rsidRPr="008424E7" w:rsidRDefault="00F43210" w:rsidP="00F43210">
      <w:pPr>
        <w:rPr>
          <w:rFonts w:ascii="Arial" w:eastAsiaTheme="minorEastAsia" w:hAnsi="Arial" w:cs="Arial"/>
        </w:rPr>
      </w:pPr>
    </w:p>
    <w:p w14:paraId="061877C6" w14:textId="7E1F1108" w:rsidR="00F43210" w:rsidRPr="008424E7" w:rsidRDefault="00F43210" w:rsidP="00F43210">
      <w:pPr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  <w:b/>
          <w:bCs/>
          <w:sz w:val="28"/>
          <w:szCs w:val="28"/>
        </w:rPr>
        <w:t>MINUTES</w:t>
      </w:r>
    </w:p>
    <w:tbl>
      <w:tblPr>
        <w:tblStyle w:val="TableGridLight"/>
        <w:tblpPr w:leftFromText="180" w:rightFromText="180" w:vertAnchor="page" w:horzAnchor="margin" w:tblpXSpec="right" w:tblpY="4756"/>
        <w:tblW w:w="9016" w:type="dxa"/>
        <w:tblLook w:val="04A0" w:firstRow="1" w:lastRow="0" w:firstColumn="1" w:lastColumn="0" w:noHBand="0" w:noVBand="1"/>
      </w:tblPr>
      <w:tblGrid>
        <w:gridCol w:w="846"/>
        <w:gridCol w:w="4394"/>
        <w:gridCol w:w="2693"/>
        <w:gridCol w:w="1083"/>
      </w:tblGrid>
      <w:tr w:rsidR="004450BE" w:rsidRPr="008424E7" w14:paraId="5AFC8168" w14:textId="77777777" w:rsidTr="00931D15">
        <w:trPr>
          <w:trHeight w:val="606"/>
        </w:trPr>
        <w:tc>
          <w:tcPr>
            <w:tcW w:w="846" w:type="dxa"/>
          </w:tcPr>
          <w:p w14:paraId="7897EBBD" w14:textId="77777777" w:rsidR="004450BE" w:rsidRPr="008424E7" w:rsidRDefault="004450BE" w:rsidP="004450BE">
            <w:pPr>
              <w:pStyle w:val="ListParagraph"/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773BAFE9" w14:textId="77777777" w:rsidR="004450BE" w:rsidRPr="0052064C" w:rsidRDefault="004450BE" w:rsidP="00DC50C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47D88065" w14:textId="38AF19A6" w:rsidR="004450BE" w:rsidRPr="008424E7" w:rsidRDefault="004450BE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Actions</w:t>
            </w:r>
          </w:p>
        </w:tc>
        <w:tc>
          <w:tcPr>
            <w:tcW w:w="1083" w:type="dxa"/>
          </w:tcPr>
          <w:p w14:paraId="57C27B2E" w14:textId="77777777" w:rsidR="004450BE" w:rsidRPr="008424E7" w:rsidRDefault="004450BE" w:rsidP="00DC50CA">
            <w:pPr>
              <w:rPr>
                <w:rFonts w:ascii="Arial" w:eastAsiaTheme="minorEastAsia" w:hAnsi="Arial" w:cs="Arial"/>
              </w:rPr>
            </w:pPr>
          </w:p>
        </w:tc>
      </w:tr>
      <w:tr w:rsidR="004C6A4B" w:rsidRPr="008424E7" w14:paraId="0C46B974" w14:textId="77777777" w:rsidTr="00931D15">
        <w:trPr>
          <w:trHeight w:val="606"/>
        </w:trPr>
        <w:tc>
          <w:tcPr>
            <w:tcW w:w="846" w:type="dxa"/>
          </w:tcPr>
          <w:p w14:paraId="73B78C64" w14:textId="77777777" w:rsidR="00F43210" w:rsidRPr="008424E7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6391D1A3" w14:textId="77777777" w:rsidR="00F43210" w:rsidRPr="004C6A4B" w:rsidRDefault="00F43210" w:rsidP="00DC50CA">
            <w:pPr>
              <w:rPr>
                <w:rFonts w:ascii="Arial" w:eastAsiaTheme="minorEastAsia" w:hAnsi="Arial" w:cs="Arial"/>
              </w:rPr>
            </w:pPr>
            <w:r w:rsidRPr="004C6A4B">
              <w:rPr>
                <w:rFonts w:ascii="Arial" w:eastAsiaTheme="minorEastAsia" w:hAnsi="Arial" w:cs="Arial"/>
              </w:rPr>
              <w:t xml:space="preserve">Introductions; Chair and Members </w:t>
            </w:r>
          </w:p>
          <w:p w14:paraId="6C24370C" w14:textId="77777777" w:rsidR="00F43210" w:rsidRPr="004C6A4B" w:rsidRDefault="00F43210" w:rsidP="00DC50CA">
            <w:pPr>
              <w:rPr>
                <w:rFonts w:ascii="Arial" w:eastAsiaTheme="minorEastAsia" w:hAnsi="Arial" w:cs="Arial"/>
              </w:rPr>
            </w:pPr>
          </w:p>
          <w:p w14:paraId="3E407A4A" w14:textId="77777777" w:rsidR="004C6A4B" w:rsidRPr="004C6A4B" w:rsidRDefault="00F43210" w:rsidP="00DC50CA">
            <w:pPr>
              <w:rPr>
                <w:rFonts w:ascii="Arial" w:eastAsiaTheme="minorEastAsia" w:hAnsi="Arial" w:cs="Arial"/>
              </w:rPr>
            </w:pPr>
            <w:r w:rsidRPr="004C6A4B">
              <w:rPr>
                <w:rFonts w:ascii="Arial" w:eastAsiaTheme="minorEastAsia" w:hAnsi="Arial" w:cs="Arial"/>
              </w:rPr>
              <w:t>Welcome, Introduction and Apologies.</w:t>
            </w:r>
          </w:p>
          <w:p w14:paraId="73E89BF1" w14:textId="45789241" w:rsidR="004C6A4B" w:rsidRDefault="004C6A4B" w:rsidP="00DC50CA">
            <w:pPr>
              <w:rPr>
                <w:rFonts w:ascii="Arial" w:eastAsiaTheme="minorEastAsia" w:hAnsi="Arial" w:cs="Arial"/>
              </w:rPr>
            </w:pPr>
            <w:r w:rsidRPr="004C6A4B">
              <w:rPr>
                <w:rFonts w:ascii="Arial" w:eastAsiaTheme="minorEastAsia" w:hAnsi="Arial" w:cs="Arial"/>
              </w:rPr>
              <w:t>The Chair (Bill Basra) welcomed everyone to the meeting.</w:t>
            </w:r>
            <w:r w:rsidR="00F43210" w:rsidRPr="004C6A4B">
              <w:rPr>
                <w:rFonts w:ascii="Arial" w:eastAsiaTheme="minorEastAsia" w:hAnsi="Arial" w:cs="Arial"/>
              </w:rPr>
              <w:t> </w:t>
            </w:r>
          </w:p>
          <w:p w14:paraId="6D5D678E" w14:textId="2C9DAE9B" w:rsidR="00A14139" w:rsidRDefault="00A14139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Apologies:</w:t>
            </w:r>
          </w:p>
          <w:p w14:paraId="6E1B9DA5" w14:textId="3C2A0AD6" w:rsidR="00A14139" w:rsidRDefault="00A14139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Mark Farmer – NBBC</w:t>
            </w:r>
          </w:p>
          <w:p w14:paraId="137DDB98" w14:textId="4A627450" w:rsidR="00A14139" w:rsidRDefault="00E813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Gurdeep Sehra – Sikh Community</w:t>
            </w:r>
          </w:p>
          <w:p w14:paraId="44DEED9E" w14:textId="6316801E" w:rsidR="00E8134B" w:rsidRDefault="00E813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Jenni Northcote – NHS</w:t>
            </w:r>
          </w:p>
          <w:p w14:paraId="3233637E" w14:textId="1D696294" w:rsidR="00E8134B" w:rsidRDefault="00E813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Matthew Smith – Nicholas </w:t>
            </w:r>
            <w:proofErr w:type="spellStart"/>
            <w:r>
              <w:rPr>
                <w:rFonts w:ascii="Arial" w:eastAsiaTheme="minorEastAsia" w:hAnsi="Arial" w:cs="Arial"/>
              </w:rPr>
              <w:t>Chamberlaine</w:t>
            </w:r>
            <w:proofErr w:type="spellEnd"/>
            <w:r>
              <w:rPr>
                <w:rFonts w:ascii="Arial" w:eastAsiaTheme="minorEastAsia" w:hAnsi="Arial" w:cs="Arial"/>
              </w:rPr>
              <w:t xml:space="preserve"> School</w:t>
            </w:r>
          </w:p>
          <w:p w14:paraId="26E707CC" w14:textId="77777777" w:rsidR="00A14139" w:rsidRPr="004C6A4B" w:rsidRDefault="00A14139" w:rsidP="00DC50CA">
            <w:pPr>
              <w:rPr>
                <w:rFonts w:ascii="Arial" w:eastAsiaTheme="minorEastAsia" w:hAnsi="Arial" w:cs="Arial"/>
              </w:rPr>
            </w:pPr>
          </w:p>
          <w:p w14:paraId="3DB354DA" w14:textId="2F5D12EA" w:rsidR="004C6A4B" w:rsidRP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 xml:space="preserve">Attendees introduced themselves with their name, connections to Bedworth and some with ideas and thoughts around the </w:t>
            </w:r>
            <w:proofErr w:type="spellStart"/>
            <w:r w:rsidRPr="004C6A4B">
              <w:rPr>
                <w:rFonts w:ascii="Arial" w:hAnsi="Arial" w:cs="Arial"/>
              </w:rPr>
              <w:t>PfN</w:t>
            </w:r>
            <w:proofErr w:type="spellEnd"/>
          </w:p>
          <w:p w14:paraId="4F0977BA" w14:textId="77777777" w:rsidR="00F43210" w:rsidRPr="004C6A4B" w:rsidRDefault="00F43210" w:rsidP="004C6A4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6B97A70C" w14:textId="77777777" w:rsidR="00F43210" w:rsidRDefault="00F43210" w:rsidP="004450BE">
            <w:pPr>
              <w:rPr>
                <w:rFonts w:ascii="Arial" w:eastAsiaTheme="minorEastAsia" w:hAnsi="Arial" w:cs="Arial"/>
              </w:rPr>
            </w:pPr>
          </w:p>
          <w:p w14:paraId="27C0A82C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1BA523FA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2D9F34AB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5201C084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291735FD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724E34CE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413FD248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7BFBC2FD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7CA806F1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2BAA2872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2610701B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573182A1" w14:textId="39DE73E2" w:rsidR="00C37362" w:rsidRPr="004C6A4B" w:rsidRDefault="00C37362" w:rsidP="004450BE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Board members to list ideas for projects</w:t>
            </w:r>
          </w:p>
        </w:tc>
        <w:tc>
          <w:tcPr>
            <w:tcW w:w="1083" w:type="dxa"/>
          </w:tcPr>
          <w:p w14:paraId="1D36670D" w14:textId="77777777" w:rsidR="00F43210" w:rsidRDefault="00F43210" w:rsidP="004450BE">
            <w:pPr>
              <w:rPr>
                <w:rFonts w:ascii="Arial" w:eastAsiaTheme="minorEastAsia" w:hAnsi="Arial" w:cs="Arial"/>
              </w:rPr>
            </w:pPr>
          </w:p>
          <w:p w14:paraId="113F4702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1B2EB5CD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4DB84ED3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5C6594D3" w14:textId="77777777" w:rsidR="00C37362" w:rsidRDefault="00C37362" w:rsidP="004450BE">
            <w:pPr>
              <w:rPr>
                <w:rFonts w:ascii="Arial" w:eastAsiaTheme="minorEastAsia" w:hAnsi="Arial" w:cs="Arial"/>
              </w:rPr>
            </w:pPr>
          </w:p>
          <w:p w14:paraId="06D93EC0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25185564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17BB9F33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42753605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76474777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7E67BE9E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022C8948" w14:textId="77777777" w:rsidR="00E8134B" w:rsidRDefault="00E8134B" w:rsidP="004450BE">
            <w:pPr>
              <w:rPr>
                <w:rFonts w:ascii="Arial" w:eastAsiaTheme="minorEastAsia" w:hAnsi="Arial" w:cs="Arial"/>
              </w:rPr>
            </w:pPr>
          </w:p>
          <w:p w14:paraId="75384F4A" w14:textId="6D08B59F" w:rsidR="00C37362" w:rsidRPr="008424E7" w:rsidRDefault="00C37362" w:rsidP="004450BE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All</w:t>
            </w:r>
          </w:p>
        </w:tc>
      </w:tr>
      <w:tr w:rsidR="004C6A4B" w:rsidRPr="008424E7" w14:paraId="66340582" w14:textId="77777777" w:rsidTr="00931D15">
        <w:trPr>
          <w:trHeight w:val="606"/>
        </w:trPr>
        <w:tc>
          <w:tcPr>
            <w:tcW w:w="846" w:type="dxa"/>
          </w:tcPr>
          <w:p w14:paraId="10455C74" w14:textId="77777777" w:rsidR="00F43210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693679AF" w14:textId="77777777" w:rsidR="00F43210" w:rsidRPr="004C6A4B" w:rsidRDefault="00F43210" w:rsidP="00DC50CA">
            <w:pPr>
              <w:rPr>
                <w:rFonts w:ascii="Arial" w:eastAsiaTheme="minorEastAsia" w:hAnsi="Arial" w:cs="Arial"/>
              </w:rPr>
            </w:pPr>
            <w:r w:rsidRPr="004C6A4B">
              <w:rPr>
                <w:rFonts w:ascii="Arial" w:eastAsiaTheme="minorEastAsia" w:hAnsi="Arial" w:cs="Arial"/>
              </w:rPr>
              <w:t>Appointment of Vice-Chair</w:t>
            </w:r>
          </w:p>
          <w:p w14:paraId="69E71526" w14:textId="77777777" w:rsidR="004C6A4B" w:rsidRP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>It was agreed that nominations should be sent to the Chair and the decision would be made at the next meeting</w:t>
            </w:r>
          </w:p>
          <w:p w14:paraId="4FF8824A" w14:textId="77777777" w:rsidR="004C6A4B" w:rsidRPr="004C6A4B" w:rsidRDefault="004C6A4B" w:rsidP="00DC50C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0BAB3AE9" w14:textId="5F2DAF2B" w:rsidR="00F43210" w:rsidRPr="004C6A4B" w:rsidRDefault="004C6A4B" w:rsidP="00DC50CA">
            <w:pPr>
              <w:rPr>
                <w:rFonts w:ascii="Arial" w:eastAsiaTheme="minorEastAsia" w:hAnsi="Arial" w:cs="Arial"/>
              </w:rPr>
            </w:pPr>
            <w:r w:rsidRPr="004C6A4B">
              <w:rPr>
                <w:rFonts w:ascii="Arial" w:eastAsiaTheme="minorEastAsia" w:hAnsi="Arial" w:cs="Arial"/>
              </w:rPr>
              <w:t>Send nominations to Bill Basra</w:t>
            </w:r>
          </w:p>
        </w:tc>
        <w:tc>
          <w:tcPr>
            <w:tcW w:w="1083" w:type="dxa"/>
          </w:tcPr>
          <w:p w14:paraId="42FFB0F2" w14:textId="4D1574BA" w:rsidR="00F43210" w:rsidRPr="008424E7" w:rsidRDefault="004C6A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All</w:t>
            </w:r>
          </w:p>
        </w:tc>
      </w:tr>
      <w:tr w:rsidR="004C6A4B" w:rsidRPr="008424E7" w14:paraId="5F7EE770" w14:textId="77777777" w:rsidTr="00931D15">
        <w:tc>
          <w:tcPr>
            <w:tcW w:w="846" w:type="dxa"/>
          </w:tcPr>
          <w:p w14:paraId="74C44502" w14:textId="77777777" w:rsidR="00F43210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28985670" w14:textId="77777777" w:rsidR="00F43210" w:rsidRPr="004C6A4B" w:rsidRDefault="00F43210" w:rsidP="00DC50CA">
            <w:pPr>
              <w:rPr>
                <w:rFonts w:ascii="Arial" w:eastAsiaTheme="minorEastAsia" w:hAnsi="Arial" w:cs="Arial"/>
              </w:rPr>
            </w:pPr>
            <w:r w:rsidRPr="004C6A4B">
              <w:rPr>
                <w:rFonts w:ascii="Arial" w:eastAsiaTheme="minorEastAsia" w:hAnsi="Arial" w:cs="Arial"/>
              </w:rPr>
              <w:t xml:space="preserve">Introduction </w:t>
            </w:r>
            <w:proofErr w:type="spellStart"/>
            <w:r w:rsidRPr="004C6A4B">
              <w:rPr>
                <w:rFonts w:ascii="Arial" w:eastAsiaTheme="minorEastAsia" w:hAnsi="Arial" w:cs="Arial"/>
              </w:rPr>
              <w:t>PfN</w:t>
            </w:r>
            <w:proofErr w:type="spellEnd"/>
            <w:r w:rsidRPr="004C6A4B">
              <w:rPr>
                <w:rFonts w:ascii="Arial" w:eastAsiaTheme="minorEastAsia" w:hAnsi="Arial" w:cs="Arial"/>
              </w:rPr>
              <w:t>;</w:t>
            </w:r>
          </w:p>
          <w:p w14:paraId="4D57F29C" w14:textId="338CD147" w:rsidR="004C6A4B" w:rsidRP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>Maria Bailey – NBBC – gave the Board some guidance.</w:t>
            </w:r>
          </w:p>
          <w:p w14:paraId="3610BDD7" w14:textId="77777777" w:rsidR="00165AF0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>The next step for the board is to deliver the ten year vision by November</w:t>
            </w:r>
            <w:r w:rsidR="00165AF0">
              <w:rPr>
                <w:rFonts w:ascii="Arial" w:hAnsi="Arial" w:cs="Arial"/>
              </w:rPr>
              <w:t>.</w:t>
            </w:r>
          </w:p>
          <w:p w14:paraId="420328A2" w14:textId="2DE52EB0" w:rsidR="004C6A4B" w:rsidRDefault="00165AF0" w:rsidP="004C6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4C6A4B" w:rsidRPr="004C6A4B">
              <w:rPr>
                <w:rFonts w:ascii="Arial" w:hAnsi="Arial" w:cs="Arial"/>
              </w:rPr>
              <w:t>4 year action plan</w:t>
            </w:r>
            <w:r>
              <w:rPr>
                <w:rFonts w:ascii="Arial" w:hAnsi="Arial" w:cs="Arial"/>
              </w:rPr>
              <w:t xml:space="preserve"> will be required, too, though there is some flex on this.</w:t>
            </w:r>
          </w:p>
          <w:p w14:paraId="57FE4004" w14:textId="1E0CA573" w:rsidR="008422F9" w:rsidRDefault="008422F9" w:rsidP="004C6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 is £250000 capacity funding available this year, separate to the fund to do what is needed to get the plan together.</w:t>
            </w:r>
          </w:p>
          <w:p w14:paraId="52F77479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23189401" w14:textId="65C37FBD" w:rsidR="007641D1" w:rsidRPr="004C6A4B" w:rsidRDefault="007641D1" w:rsidP="0076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print out of the area covered by the </w:t>
            </w:r>
            <w:proofErr w:type="spellStart"/>
            <w:r>
              <w:rPr>
                <w:rFonts w:ascii="Arial" w:hAnsi="Arial" w:cs="Arial"/>
              </w:rPr>
              <w:t>PfN</w:t>
            </w:r>
            <w:proofErr w:type="spellEnd"/>
            <w:r>
              <w:rPr>
                <w:rFonts w:ascii="Arial" w:hAnsi="Arial" w:cs="Arial"/>
              </w:rPr>
              <w:t xml:space="preserve"> was made available to members and it was explained that</w:t>
            </w:r>
            <w:r>
              <w:rPr>
                <w:rFonts w:ascii="Arial" w:hAnsi="Arial" w:cs="Arial"/>
              </w:rPr>
              <w:t xml:space="preserve"> </w:t>
            </w:r>
            <w:r w:rsidRPr="004C6A4B">
              <w:rPr>
                <w:rFonts w:ascii="Arial" w:hAnsi="Arial" w:cs="Arial"/>
              </w:rPr>
              <w:t>other green or blue sites in Bedworth</w:t>
            </w:r>
            <w:r>
              <w:rPr>
                <w:rFonts w:ascii="Arial" w:hAnsi="Arial" w:cs="Arial"/>
              </w:rPr>
              <w:t xml:space="preserve"> but outside the boundary marked on said </w:t>
            </w:r>
            <w:r w:rsidR="00165AF0">
              <w:rPr>
                <w:rFonts w:ascii="Arial" w:hAnsi="Arial" w:cs="Arial"/>
              </w:rPr>
              <w:t>plan</w:t>
            </w:r>
            <w:r w:rsidRPr="004C6A4B">
              <w:rPr>
                <w:rFonts w:ascii="Arial" w:hAnsi="Arial" w:cs="Arial"/>
              </w:rPr>
              <w:t xml:space="preserve"> may be included but </w:t>
            </w:r>
            <w:proofErr w:type="spellStart"/>
            <w:r w:rsidRPr="004C6A4B">
              <w:rPr>
                <w:rFonts w:ascii="Arial" w:hAnsi="Arial" w:cs="Arial"/>
              </w:rPr>
              <w:lastRenderedPageBreak/>
              <w:t>not</w:t>
            </w:r>
            <w:proofErr w:type="spellEnd"/>
            <w:r w:rsidRPr="004C6A4B">
              <w:rPr>
                <w:rFonts w:ascii="Arial" w:hAnsi="Arial" w:cs="Arial"/>
              </w:rPr>
              <w:t xml:space="preserve"> other communities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Keresley</w:t>
            </w:r>
            <w:proofErr w:type="spellEnd"/>
            <w:r w:rsidR="00165AF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Ash Green</w:t>
            </w:r>
            <w:r w:rsidR="00165AF0">
              <w:rPr>
                <w:rFonts w:ascii="Arial" w:hAnsi="Arial" w:cs="Arial"/>
              </w:rPr>
              <w:t xml:space="preserve"> and new developments</w:t>
            </w:r>
            <w:r>
              <w:rPr>
                <w:rFonts w:ascii="Arial" w:hAnsi="Arial" w:cs="Arial"/>
              </w:rPr>
              <w:t>)</w:t>
            </w:r>
            <w:r w:rsidRPr="004C6A4B">
              <w:rPr>
                <w:rFonts w:ascii="Arial" w:hAnsi="Arial" w:cs="Arial"/>
              </w:rPr>
              <w:t>.</w:t>
            </w:r>
          </w:p>
          <w:p w14:paraId="7D523FD8" w14:textId="00F2A70F" w:rsidR="007641D1" w:rsidRPr="004C6A4B" w:rsidRDefault="007641D1" w:rsidP="007641D1">
            <w:pPr>
              <w:rPr>
                <w:rFonts w:ascii="Arial" w:hAnsi="Arial" w:cs="Arial"/>
              </w:rPr>
            </w:pPr>
          </w:p>
          <w:p w14:paraId="0E3AA027" w14:textId="19F9E6D1" w:rsidR="004C6A4B" w:rsidRP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 xml:space="preserve"> </w:t>
            </w:r>
          </w:p>
          <w:p w14:paraId="6E2A8460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6381CC53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5E897E40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7A1EAEB6" w14:textId="058871FC" w:rsid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>Need to see deliverables, but no withholding of funds if deadlines are missed</w:t>
            </w:r>
            <w:r w:rsidR="007641D1">
              <w:rPr>
                <w:rFonts w:ascii="Arial" w:hAnsi="Arial" w:cs="Arial"/>
              </w:rPr>
              <w:t>.</w:t>
            </w:r>
          </w:p>
          <w:p w14:paraId="17615B3C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06218551" w14:textId="77777777" w:rsidR="004C6A4B" w:rsidRP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>Projects outside of plan may be included, if they benefit the area within the plan boundary.</w:t>
            </w:r>
          </w:p>
          <w:p w14:paraId="6796BB6C" w14:textId="77777777" w:rsidR="004C6A4B" w:rsidRDefault="004C6A4B" w:rsidP="004C6A4B">
            <w:pPr>
              <w:rPr>
                <w:rFonts w:ascii="Arial" w:hAnsi="Arial" w:cs="Arial"/>
                <w:b/>
                <w:bCs/>
              </w:rPr>
            </w:pPr>
            <w:r w:rsidRPr="00991AC8">
              <w:rPr>
                <w:rFonts w:ascii="Arial" w:hAnsi="Arial" w:cs="Arial"/>
                <w:b/>
                <w:bCs/>
              </w:rPr>
              <w:t>Subject to the amendments, the plan was approved by the board</w:t>
            </w:r>
          </w:p>
          <w:p w14:paraId="336EFED8" w14:textId="77777777" w:rsidR="008422F9" w:rsidRDefault="008422F9" w:rsidP="004C6A4B">
            <w:pPr>
              <w:rPr>
                <w:rFonts w:ascii="Arial" w:hAnsi="Arial" w:cs="Arial"/>
                <w:b/>
                <w:bCs/>
              </w:rPr>
            </w:pPr>
          </w:p>
          <w:p w14:paraId="10B8B9A0" w14:textId="77777777" w:rsidR="008422F9" w:rsidRDefault="008422F9" w:rsidP="004C6A4B">
            <w:pPr>
              <w:rPr>
                <w:rFonts w:ascii="Arial" w:hAnsi="Arial" w:cs="Arial"/>
              </w:rPr>
            </w:pPr>
            <w:r w:rsidRPr="008422F9">
              <w:rPr>
                <w:rFonts w:ascii="Arial" w:hAnsi="Arial" w:cs="Arial"/>
              </w:rPr>
              <w:t xml:space="preserve">Chair asked for </w:t>
            </w:r>
            <w:r>
              <w:rPr>
                <w:rFonts w:ascii="Arial" w:hAnsi="Arial" w:cs="Arial"/>
              </w:rPr>
              <w:t>a land registry search for the units in Bedworth Town Centre and a plan with occupancy marked,</w:t>
            </w:r>
          </w:p>
          <w:p w14:paraId="0203A21B" w14:textId="725E38A1" w:rsidR="008422F9" w:rsidRDefault="008422F9" w:rsidP="004C6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NBBC have an Empty Property Officer.</w:t>
            </w:r>
          </w:p>
          <w:p w14:paraId="1EC9E3A2" w14:textId="703B4C26" w:rsidR="008422F9" w:rsidRPr="008422F9" w:rsidRDefault="008422F9" w:rsidP="004C6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know plans for Bedworth Town Centre from Warwickshire County Council, NBBC and NHS.</w:t>
            </w:r>
          </w:p>
          <w:p w14:paraId="21441EA2" w14:textId="77777777" w:rsidR="004C6A4B" w:rsidRP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7EAE0899" w14:textId="77777777" w:rsidR="00F43210" w:rsidRPr="004C6A4B" w:rsidRDefault="00F43210" w:rsidP="004C6A4B">
            <w:pPr>
              <w:pStyle w:val="ListParagraph"/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3F55DD68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2C89B453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223D9AD1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4AF861C3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56D8D40F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1F62822B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2602E62D" w14:textId="77777777" w:rsidR="007641D1" w:rsidRDefault="007641D1" w:rsidP="004C6A4B">
            <w:pPr>
              <w:rPr>
                <w:rFonts w:ascii="Arial" w:hAnsi="Arial" w:cs="Arial"/>
              </w:rPr>
            </w:pPr>
          </w:p>
          <w:p w14:paraId="71CFA806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0028B0E8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7E288F59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0D85B713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1E391997" w14:textId="75104DCD" w:rsid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 xml:space="preserve">Amend plan to include other green/ blue areas </w:t>
            </w:r>
            <w:proofErr w:type="spellStart"/>
            <w:r w:rsidRPr="004C6A4B">
              <w:rPr>
                <w:rFonts w:ascii="Arial" w:hAnsi="Arial" w:cs="Arial"/>
              </w:rPr>
              <w:t>eg</w:t>
            </w:r>
            <w:proofErr w:type="spellEnd"/>
            <w:r w:rsidRPr="004C6A4B">
              <w:rPr>
                <w:rFonts w:ascii="Arial" w:hAnsi="Arial" w:cs="Arial"/>
              </w:rPr>
              <w:t xml:space="preserve"> Bedworth Miners Welfare Park and Bedworth Sloughs and to </w:t>
            </w:r>
            <w:r w:rsidRPr="004C6A4B">
              <w:rPr>
                <w:rFonts w:ascii="Arial" w:hAnsi="Arial" w:cs="Arial"/>
              </w:rPr>
              <w:lastRenderedPageBreak/>
              <w:t>have it printed to a larger scale.</w:t>
            </w:r>
          </w:p>
          <w:p w14:paraId="351142E4" w14:textId="77777777" w:rsidR="004C6A4B" w:rsidRPr="004C6A4B" w:rsidRDefault="004C6A4B" w:rsidP="004C6A4B">
            <w:pPr>
              <w:rPr>
                <w:rFonts w:ascii="Arial" w:hAnsi="Arial" w:cs="Arial"/>
              </w:rPr>
            </w:pPr>
          </w:p>
          <w:p w14:paraId="63847F8B" w14:textId="1849E998" w:rsid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>A straight line down the by-pass that will include Bedworth Sloughs in the plan.</w:t>
            </w:r>
          </w:p>
          <w:p w14:paraId="6C897C69" w14:textId="77777777" w:rsidR="004C6A4B" w:rsidRPr="004C6A4B" w:rsidRDefault="004C6A4B" w:rsidP="004C6A4B">
            <w:pPr>
              <w:rPr>
                <w:rFonts w:ascii="Arial" w:hAnsi="Arial" w:cs="Arial"/>
              </w:rPr>
            </w:pPr>
          </w:p>
          <w:p w14:paraId="294B07A8" w14:textId="7F1AD05C" w:rsidR="004C6A4B" w:rsidRDefault="004C6A4B" w:rsidP="004C6A4B">
            <w:pPr>
              <w:rPr>
                <w:rFonts w:ascii="Arial" w:hAnsi="Arial" w:cs="Arial"/>
              </w:rPr>
            </w:pPr>
            <w:r w:rsidRPr="004C6A4B">
              <w:rPr>
                <w:rFonts w:ascii="Arial" w:hAnsi="Arial" w:cs="Arial"/>
              </w:rPr>
              <w:t xml:space="preserve">Follow up the Bayton Road contact Jason Aldridge of Arrowsmith </w:t>
            </w:r>
            <w:r w:rsidR="00991AC8" w:rsidRPr="004C6A4B">
              <w:rPr>
                <w:rFonts w:ascii="Arial" w:hAnsi="Arial" w:cs="Arial"/>
              </w:rPr>
              <w:t>Engineering</w:t>
            </w:r>
          </w:p>
          <w:p w14:paraId="2009F48F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13EABD72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562BB69E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1CD552A9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6D3CFD6C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54697FF5" w14:textId="77777777" w:rsidR="008422F9" w:rsidRDefault="008422F9" w:rsidP="004C6A4B">
            <w:pPr>
              <w:rPr>
                <w:rFonts w:ascii="Arial" w:hAnsi="Arial" w:cs="Arial"/>
              </w:rPr>
            </w:pPr>
          </w:p>
          <w:p w14:paraId="420C584E" w14:textId="6C07BBA6" w:rsidR="008422F9" w:rsidRPr="004C6A4B" w:rsidRDefault="008422F9" w:rsidP="004C6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to request this from NBBC Land and Properties</w:t>
            </w:r>
          </w:p>
          <w:p w14:paraId="623BC03E" w14:textId="77777777" w:rsidR="004C6A4B" w:rsidRPr="004C6A4B" w:rsidRDefault="004C6A4B" w:rsidP="004C6A4B">
            <w:pPr>
              <w:rPr>
                <w:rFonts w:ascii="Arial" w:hAnsi="Arial" w:cs="Arial"/>
              </w:rPr>
            </w:pPr>
          </w:p>
          <w:p w14:paraId="01C451D8" w14:textId="77777777" w:rsidR="004C6A4B" w:rsidRPr="004C6A4B" w:rsidRDefault="004C6A4B" w:rsidP="004C6A4B">
            <w:pPr>
              <w:rPr>
                <w:rFonts w:ascii="Arial" w:hAnsi="Arial" w:cs="Arial"/>
              </w:rPr>
            </w:pPr>
          </w:p>
          <w:p w14:paraId="3803658E" w14:textId="77777777" w:rsidR="00F43210" w:rsidRPr="004C6A4B" w:rsidRDefault="00F43210" w:rsidP="00DC50C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083" w:type="dxa"/>
          </w:tcPr>
          <w:p w14:paraId="17F227A5" w14:textId="77777777" w:rsidR="00F43210" w:rsidRDefault="004C6A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Maria Bailey</w:t>
            </w:r>
          </w:p>
          <w:p w14:paraId="3707E1EB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010D99EF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349EE8E3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2937D36B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3B33264E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2CA58B11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33F53588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40C0CF05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268FCF27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Maria Bailey</w:t>
            </w:r>
          </w:p>
          <w:p w14:paraId="1AC1123F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3764602E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16376FA9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4BC058AB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</w:p>
          <w:p w14:paraId="22C505AA" w14:textId="77777777" w:rsidR="004C6A4B" w:rsidRDefault="004C6A4B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Maria Bailey</w:t>
            </w:r>
          </w:p>
          <w:p w14:paraId="242E59FB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7EB8EFC8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345A3BFF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4C6534A9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1F73B3E1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0B4DBD13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0788AB7D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0777D840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40A8CCEC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3D2B4699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794E6D6A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755BD81E" w14:textId="42889650" w:rsidR="008422F9" w:rsidRPr="008424E7" w:rsidRDefault="008422F9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Maria Bailey</w:t>
            </w:r>
          </w:p>
        </w:tc>
      </w:tr>
      <w:tr w:rsidR="004C6A4B" w:rsidRPr="008424E7" w14:paraId="5DB3F0E1" w14:textId="77777777" w:rsidTr="00931D15">
        <w:trPr>
          <w:trHeight w:val="300"/>
        </w:trPr>
        <w:tc>
          <w:tcPr>
            <w:tcW w:w="846" w:type="dxa"/>
          </w:tcPr>
          <w:p w14:paraId="2281AD4C" w14:textId="77777777" w:rsidR="00F43210" w:rsidRPr="008424E7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63E20EE1" w14:textId="77777777" w:rsidR="00F43210" w:rsidRPr="0052064C" w:rsidRDefault="00F43210" w:rsidP="00DC50CA">
            <w:pPr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>Governance</w:t>
            </w:r>
          </w:p>
          <w:p w14:paraId="7261B882" w14:textId="3131C284" w:rsidR="00F43210" w:rsidRDefault="00F43210" w:rsidP="009028AD">
            <w:pPr>
              <w:rPr>
                <w:rFonts w:ascii="Arial" w:eastAsiaTheme="minorEastAsia" w:hAnsi="Arial" w:cs="Arial"/>
              </w:rPr>
            </w:pPr>
            <w:r w:rsidRPr="009028AD">
              <w:rPr>
                <w:rFonts w:ascii="Arial" w:eastAsiaTheme="minorEastAsia" w:hAnsi="Arial" w:cs="Arial"/>
              </w:rPr>
              <w:t>Declarations of interest and Terms of Reference</w:t>
            </w:r>
            <w:r w:rsidR="00E41D2F">
              <w:rPr>
                <w:rFonts w:ascii="Arial" w:eastAsiaTheme="minorEastAsia" w:hAnsi="Arial" w:cs="Arial"/>
              </w:rPr>
              <w:t xml:space="preserve"> (</w:t>
            </w:r>
            <w:proofErr w:type="spellStart"/>
            <w:r w:rsidR="00E41D2F">
              <w:rPr>
                <w:rFonts w:ascii="Arial" w:eastAsiaTheme="minorEastAsia" w:hAnsi="Arial" w:cs="Arial"/>
              </w:rPr>
              <w:t>ToR</w:t>
            </w:r>
            <w:proofErr w:type="spellEnd"/>
            <w:r w:rsidR="00E41D2F">
              <w:rPr>
                <w:rFonts w:ascii="Arial" w:eastAsiaTheme="minorEastAsia" w:hAnsi="Arial" w:cs="Arial"/>
              </w:rPr>
              <w:t>)</w:t>
            </w:r>
          </w:p>
          <w:p w14:paraId="42B0C034" w14:textId="77777777" w:rsidR="008422F9" w:rsidRDefault="009028AD" w:rsidP="009028AD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The Chair went through t</w:t>
            </w:r>
            <w:r w:rsidR="008422F9">
              <w:rPr>
                <w:rFonts w:ascii="Arial" w:eastAsiaTheme="minorEastAsia" w:hAnsi="Arial" w:cs="Arial"/>
              </w:rPr>
              <w:t xml:space="preserve">he </w:t>
            </w:r>
            <w:proofErr w:type="spellStart"/>
            <w:r w:rsidR="008422F9">
              <w:rPr>
                <w:rFonts w:ascii="Arial" w:eastAsiaTheme="minorEastAsia" w:hAnsi="Arial" w:cs="Arial"/>
              </w:rPr>
              <w:t>ToR</w:t>
            </w:r>
            <w:proofErr w:type="spellEnd"/>
            <w:r w:rsidR="008422F9">
              <w:rPr>
                <w:rFonts w:ascii="Arial" w:eastAsiaTheme="minorEastAsia" w:hAnsi="Arial" w:cs="Arial"/>
              </w:rPr>
              <w:t>.</w:t>
            </w:r>
          </w:p>
          <w:p w14:paraId="221B37FF" w14:textId="7FED3181" w:rsidR="00E41D2F" w:rsidRDefault="008422F9" w:rsidP="009028AD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</w:t>
            </w:r>
            <w:r w:rsidR="009028AD">
              <w:rPr>
                <w:rFonts w:ascii="Arial" w:eastAsiaTheme="minorEastAsia" w:hAnsi="Arial" w:cs="Arial"/>
              </w:rPr>
              <w:t>xplained that Board membership is likely to shift over the ten years of the plan.</w:t>
            </w:r>
          </w:p>
          <w:p w14:paraId="1D0551E6" w14:textId="77777777" w:rsidR="00EB1F17" w:rsidRDefault="00EB1F17" w:rsidP="009028AD">
            <w:pPr>
              <w:rPr>
                <w:rFonts w:ascii="Arial" w:eastAsiaTheme="minorEastAsia" w:hAnsi="Arial" w:cs="Arial"/>
              </w:rPr>
            </w:pPr>
          </w:p>
          <w:p w14:paraId="6276E027" w14:textId="49912E47" w:rsidR="00E41D2F" w:rsidRDefault="00E41D2F" w:rsidP="009028AD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Declarations of Interest – a register to be kept</w:t>
            </w:r>
            <w:r w:rsidR="008422F9">
              <w:rPr>
                <w:rFonts w:ascii="Arial" w:eastAsiaTheme="minorEastAsia" w:hAnsi="Arial" w:cs="Arial"/>
              </w:rPr>
              <w:t>.</w:t>
            </w:r>
          </w:p>
          <w:p w14:paraId="02CEDF5F" w14:textId="77777777" w:rsidR="00F43210" w:rsidRPr="000867EA" w:rsidRDefault="00F43210" w:rsidP="00DC50CA">
            <w:pPr>
              <w:ind w:left="1440"/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78D2F9B8" w14:textId="442D9D59" w:rsidR="00E41D2F" w:rsidRDefault="00E41D2F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Quorum to be amended to 25%</w:t>
            </w:r>
            <w:r w:rsidR="00EB1F17">
              <w:rPr>
                <w:rFonts w:ascii="Arial" w:eastAsiaTheme="minorEastAsia" w:hAnsi="Arial" w:cs="Arial"/>
              </w:rPr>
              <w:t xml:space="preserve">. </w:t>
            </w:r>
            <w:r>
              <w:rPr>
                <w:rFonts w:ascii="Arial" w:eastAsiaTheme="minorEastAsia" w:hAnsi="Arial" w:cs="Arial"/>
              </w:rPr>
              <w:t xml:space="preserve">Amended </w:t>
            </w:r>
            <w:proofErr w:type="spellStart"/>
            <w:r>
              <w:rPr>
                <w:rFonts w:ascii="Arial" w:eastAsiaTheme="minorEastAsia" w:hAnsi="Arial" w:cs="Arial"/>
              </w:rPr>
              <w:t>ToR</w:t>
            </w:r>
            <w:proofErr w:type="spellEnd"/>
            <w:r>
              <w:rPr>
                <w:rFonts w:ascii="Arial" w:eastAsiaTheme="minorEastAsia" w:hAnsi="Arial" w:cs="Arial"/>
              </w:rPr>
              <w:t xml:space="preserve"> to be circulated and approved digitally</w:t>
            </w:r>
          </w:p>
          <w:p w14:paraId="1CDD6EB5" w14:textId="77777777" w:rsidR="008422F9" w:rsidRDefault="008422F9" w:rsidP="00DC50CA">
            <w:pPr>
              <w:rPr>
                <w:rFonts w:ascii="Arial" w:eastAsiaTheme="minorEastAsia" w:hAnsi="Arial" w:cs="Arial"/>
              </w:rPr>
            </w:pPr>
          </w:p>
          <w:p w14:paraId="780DE41C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555BEF51" w14:textId="40229685" w:rsidR="00E41D2F" w:rsidRPr="008424E7" w:rsidRDefault="00E41D2F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Forms to be circulated to members of the Board</w:t>
            </w:r>
          </w:p>
        </w:tc>
        <w:tc>
          <w:tcPr>
            <w:tcW w:w="1083" w:type="dxa"/>
          </w:tcPr>
          <w:p w14:paraId="67E96FE8" w14:textId="77777777" w:rsidR="00F43210" w:rsidRDefault="00E41D2F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Maria Bailey</w:t>
            </w:r>
          </w:p>
          <w:p w14:paraId="5028E917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570FC0ED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69742667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1297956C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6A00BCC1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395FA842" w14:textId="77777777" w:rsidR="00E41D2F" w:rsidRDefault="00E41D2F" w:rsidP="00DC50CA">
            <w:pPr>
              <w:rPr>
                <w:rFonts w:ascii="Arial" w:eastAsiaTheme="minorEastAsia" w:hAnsi="Arial" w:cs="Arial"/>
              </w:rPr>
            </w:pPr>
          </w:p>
          <w:p w14:paraId="42F8CBEC" w14:textId="24FA3427" w:rsidR="00E41D2F" w:rsidRPr="008424E7" w:rsidRDefault="00E41D2F" w:rsidP="00DC50CA">
            <w:pPr>
              <w:rPr>
                <w:rFonts w:ascii="Arial" w:eastAsiaTheme="minorEastAsia" w:hAnsi="Arial" w:cs="Arial"/>
              </w:rPr>
            </w:pPr>
          </w:p>
        </w:tc>
      </w:tr>
      <w:tr w:rsidR="004C6A4B" w:rsidRPr="008424E7" w14:paraId="1EA92E0D" w14:textId="77777777" w:rsidTr="00931D15">
        <w:trPr>
          <w:trHeight w:val="300"/>
        </w:trPr>
        <w:tc>
          <w:tcPr>
            <w:tcW w:w="846" w:type="dxa"/>
          </w:tcPr>
          <w:p w14:paraId="5B2CC0E7" w14:textId="77777777" w:rsidR="00F43210" w:rsidRPr="007B4F5F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5EF13D9A" w14:textId="77777777" w:rsidR="00F43210" w:rsidRDefault="00F43210" w:rsidP="00DC50CA">
            <w:pPr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>The Neighbourhood Board (TOR, Membership, Culture and Conduct, Frequency of Meetings and Venue)</w:t>
            </w:r>
          </w:p>
          <w:p w14:paraId="17013052" w14:textId="77777777" w:rsidR="00EB1F17" w:rsidRDefault="00EB1F17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Frequency of meetings – at this juncture, the Board will meet monthly, but this could change to quarterly as the Board progresses the Plan.</w:t>
            </w:r>
          </w:p>
          <w:p w14:paraId="23A77463" w14:textId="77777777" w:rsidR="00EB1F17" w:rsidRDefault="00EB1F17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Sub-groups may form later to suit projects.</w:t>
            </w:r>
          </w:p>
          <w:p w14:paraId="24241332" w14:textId="77777777" w:rsidR="00EB1F17" w:rsidRPr="0052064C" w:rsidRDefault="00EB1F17" w:rsidP="00DC50CA">
            <w:pPr>
              <w:rPr>
                <w:rFonts w:ascii="Arial" w:eastAsiaTheme="minorEastAsia" w:hAnsi="Arial" w:cs="Arial"/>
              </w:rPr>
            </w:pPr>
          </w:p>
          <w:p w14:paraId="7A149D67" w14:textId="77777777" w:rsidR="00F43210" w:rsidRDefault="00EB1F17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Need to understand community priorities</w:t>
            </w:r>
          </w:p>
          <w:p w14:paraId="6EDED25B" w14:textId="77777777" w:rsidR="00EB1F17" w:rsidRDefault="00EB1F17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There is money for this work</w:t>
            </w:r>
          </w:p>
          <w:p w14:paraId="1206AFA3" w14:textId="2808892A" w:rsidR="00EB1F17" w:rsidRDefault="00EB1F17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Intelligence already gathered to be examined in the next meeting</w:t>
            </w:r>
            <w:r w:rsidR="00C37362">
              <w:rPr>
                <w:rFonts w:ascii="Arial" w:eastAsiaTheme="minorEastAsia" w:hAnsi="Arial" w:cs="Arial"/>
              </w:rPr>
              <w:t>, gaps in intelligence to be identified.</w:t>
            </w:r>
          </w:p>
          <w:p w14:paraId="3F2D0472" w14:textId="15C2E9C8" w:rsidR="00C37362" w:rsidRDefault="00C37362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Procurement procedure que</w:t>
            </w:r>
            <w:r w:rsidR="009352D5">
              <w:rPr>
                <w:rFonts w:ascii="Arial" w:eastAsiaTheme="minorEastAsia" w:hAnsi="Arial" w:cs="Arial"/>
              </w:rPr>
              <w:t>ried</w:t>
            </w:r>
            <w:r>
              <w:rPr>
                <w:rFonts w:ascii="Arial" w:eastAsiaTheme="minorEastAsia" w:hAnsi="Arial" w:cs="Arial"/>
              </w:rPr>
              <w:t>.</w:t>
            </w:r>
          </w:p>
          <w:p w14:paraId="23FCE1F2" w14:textId="77777777" w:rsidR="009352D5" w:rsidRDefault="009352D5" w:rsidP="00EB1F17">
            <w:pPr>
              <w:rPr>
                <w:rFonts w:ascii="Arial" w:eastAsiaTheme="minorEastAsia" w:hAnsi="Arial" w:cs="Arial"/>
              </w:rPr>
            </w:pPr>
          </w:p>
          <w:p w14:paraId="15FC5230" w14:textId="1A67D187" w:rsidR="009352D5" w:rsidRDefault="009352D5" w:rsidP="00EB1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Vital to get the four year plan in place as a change of government could mean that </w:t>
            </w:r>
            <w:r>
              <w:rPr>
                <w:rFonts w:ascii="Arial" w:eastAsiaTheme="minorEastAsia" w:hAnsi="Arial" w:cs="Arial"/>
              </w:rPr>
              <w:lastRenderedPageBreak/>
              <w:t>the priority changes. The £20million is not inflation linked.</w:t>
            </w:r>
          </w:p>
          <w:p w14:paraId="3AC8F95A" w14:textId="77777777" w:rsidR="00C37362" w:rsidRDefault="00C37362" w:rsidP="00EB1F17">
            <w:pPr>
              <w:rPr>
                <w:rFonts w:ascii="Arial" w:eastAsiaTheme="minorEastAsia" w:hAnsi="Arial" w:cs="Arial"/>
              </w:rPr>
            </w:pPr>
          </w:p>
          <w:p w14:paraId="7495D1AA" w14:textId="338D3636" w:rsidR="00EB1F17" w:rsidRPr="00EB1F17" w:rsidRDefault="00EB1F17" w:rsidP="00EB1F1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16FA944B" w14:textId="77777777" w:rsidR="00F43210" w:rsidRDefault="00F43210" w:rsidP="00DC50CA">
            <w:pPr>
              <w:rPr>
                <w:rFonts w:ascii="Arial" w:eastAsiaTheme="minorEastAsia" w:hAnsi="Arial" w:cs="Arial"/>
              </w:rPr>
            </w:pPr>
          </w:p>
          <w:p w14:paraId="76AAECCF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6F144E88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4D6EB8AB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7FC59D96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16D0430D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438AC4C3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6C818CE0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412EDF21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3DFBEF46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6586A1AF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32995235" w14:textId="05172F85" w:rsidR="00C37362" w:rsidRPr="008424E7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Email MHCLG</w:t>
            </w:r>
          </w:p>
        </w:tc>
        <w:tc>
          <w:tcPr>
            <w:tcW w:w="1083" w:type="dxa"/>
          </w:tcPr>
          <w:p w14:paraId="279792FD" w14:textId="77777777" w:rsidR="00F43210" w:rsidRDefault="00F43210" w:rsidP="00DC50CA">
            <w:pPr>
              <w:rPr>
                <w:rFonts w:ascii="Arial" w:eastAsiaTheme="minorEastAsia" w:hAnsi="Arial" w:cs="Arial"/>
              </w:rPr>
            </w:pPr>
          </w:p>
          <w:p w14:paraId="6DB76EAE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6913F0FA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3ED6B18A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55521585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144EA456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1FBDE1A9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193A1AFC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0263E525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22BACE15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2AB65163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3EF38103" w14:textId="7380AE94" w:rsidR="00C37362" w:rsidRPr="008424E7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Chair</w:t>
            </w:r>
          </w:p>
        </w:tc>
      </w:tr>
      <w:tr w:rsidR="004C6A4B" w:rsidRPr="008424E7" w14:paraId="62D2010A" w14:textId="77777777" w:rsidTr="00931D15">
        <w:trPr>
          <w:trHeight w:val="300"/>
        </w:trPr>
        <w:tc>
          <w:tcPr>
            <w:tcW w:w="846" w:type="dxa"/>
          </w:tcPr>
          <w:p w14:paraId="5B587A05" w14:textId="77777777" w:rsidR="00F43210" w:rsidRPr="007B4F5F" w:rsidRDefault="00F43210" w:rsidP="00F43210">
            <w:pPr>
              <w:numPr>
                <w:ilvl w:val="0"/>
                <w:numId w:val="2"/>
              </w:numPr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6C4DEEBA" w14:textId="77777777" w:rsidR="00F43210" w:rsidRPr="007B4F5F" w:rsidRDefault="00F43210" w:rsidP="00DC50CA">
            <w:pPr>
              <w:rPr>
                <w:rFonts w:ascii="Arial" w:eastAsiaTheme="minorEastAsia" w:hAnsi="Arial" w:cs="Arial"/>
              </w:rPr>
            </w:pPr>
            <w:r w:rsidRPr="007B4F5F">
              <w:rPr>
                <w:rFonts w:ascii="Arial" w:eastAsiaTheme="minorEastAsia" w:hAnsi="Arial" w:cs="Arial"/>
              </w:rPr>
              <w:t>Support and Communication:</w:t>
            </w:r>
          </w:p>
          <w:p w14:paraId="04CC3868" w14:textId="77777777" w:rsidR="00F43210" w:rsidRDefault="00F43210" w:rsidP="00F43210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>Community mapping and engagement</w:t>
            </w:r>
          </w:p>
          <w:p w14:paraId="7EA714CB" w14:textId="5F5217C2" w:rsidR="009352D5" w:rsidRPr="0052064C" w:rsidRDefault="009352D5" w:rsidP="009352D5">
            <w:pPr>
              <w:pStyle w:val="ListParagraph"/>
              <w:contextualSpacing w:val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Examine what is already available and identify gaps.</w:t>
            </w:r>
          </w:p>
          <w:p w14:paraId="299C9160" w14:textId="018EA6AB" w:rsidR="00F43210" w:rsidRPr="0052064C" w:rsidRDefault="00F43210" w:rsidP="00F43210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>Secretariat</w:t>
            </w:r>
            <w:r w:rsidR="00C37362">
              <w:rPr>
                <w:rFonts w:ascii="Arial" w:eastAsiaTheme="minorEastAsia" w:hAnsi="Arial" w:cs="Arial"/>
              </w:rPr>
              <w:t xml:space="preserve"> -  Admin support needed. The paid role could have responsibility for comms </w:t>
            </w:r>
            <w:proofErr w:type="spellStart"/>
            <w:r w:rsidR="00C37362">
              <w:rPr>
                <w:rFonts w:ascii="Arial" w:eastAsiaTheme="minorEastAsia" w:hAnsi="Arial" w:cs="Arial"/>
              </w:rPr>
              <w:t>eg</w:t>
            </w:r>
            <w:proofErr w:type="spellEnd"/>
            <w:r w:rsidR="00C37362">
              <w:rPr>
                <w:rFonts w:ascii="Arial" w:eastAsiaTheme="minorEastAsia" w:hAnsi="Arial" w:cs="Arial"/>
              </w:rPr>
              <w:t xml:space="preserve"> set up website.</w:t>
            </w:r>
          </w:p>
          <w:p w14:paraId="7681CE10" w14:textId="77777777" w:rsidR="00F43210" w:rsidRDefault="00F43210" w:rsidP="00F43210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>Land, Property and Planning</w:t>
            </w:r>
          </w:p>
          <w:p w14:paraId="52A76819" w14:textId="0C05564F" w:rsidR="009352D5" w:rsidRPr="0052064C" w:rsidRDefault="009352D5" w:rsidP="009352D5">
            <w:pPr>
              <w:pStyle w:val="ListParagraph"/>
              <w:contextualSpacing w:val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Need to know who owns Bedworth Town Centre Units and who occupies them.</w:t>
            </w:r>
          </w:p>
          <w:p w14:paraId="6CCB32DF" w14:textId="77777777" w:rsidR="00F43210" w:rsidRPr="0052064C" w:rsidRDefault="00F43210" w:rsidP="00F43210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>Communication and Publicity</w:t>
            </w:r>
          </w:p>
          <w:p w14:paraId="4A6B86FA" w14:textId="77777777" w:rsidR="00F43210" w:rsidRDefault="00F43210" w:rsidP="00DC50CA">
            <w:pPr>
              <w:pStyle w:val="ListParagraph"/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671B982E" w14:textId="77777777" w:rsidR="00F43210" w:rsidRDefault="00F43210" w:rsidP="00DC50CA">
            <w:pPr>
              <w:rPr>
                <w:rFonts w:ascii="Arial" w:eastAsiaTheme="minorEastAsia" w:hAnsi="Arial" w:cs="Arial"/>
              </w:rPr>
            </w:pPr>
          </w:p>
          <w:p w14:paraId="5963A524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Email MHCLG</w:t>
            </w:r>
          </w:p>
          <w:p w14:paraId="419B9E4E" w14:textId="34236AE3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Circulate JD and form an interview panel</w:t>
            </w:r>
          </w:p>
          <w:p w14:paraId="220E5930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20F87AA8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74EFF881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437847BC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4F7E5476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08BA213F" w14:textId="6CE062BF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NBBC  - HM Land Reg for TC premises</w:t>
            </w:r>
          </w:p>
          <w:p w14:paraId="2B6EB5A4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660ED4F0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1F0D1DD0" w14:textId="1060142C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Press release</w:t>
            </w:r>
          </w:p>
          <w:p w14:paraId="1A26094D" w14:textId="3D099A7A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083" w:type="dxa"/>
          </w:tcPr>
          <w:p w14:paraId="29176C8C" w14:textId="77777777" w:rsidR="00F43210" w:rsidRDefault="00F43210" w:rsidP="00DC50CA">
            <w:pPr>
              <w:rPr>
                <w:rFonts w:ascii="Arial" w:eastAsiaTheme="minorEastAsia" w:hAnsi="Arial" w:cs="Arial"/>
              </w:rPr>
            </w:pPr>
          </w:p>
          <w:p w14:paraId="19A51336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Chair</w:t>
            </w:r>
          </w:p>
          <w:p w14:paraId="069E5AB6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Chair</w:t>
            </w:r>
          </w:p>
          <w:p w14:paraId="5AF62725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6BED9F27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06DF00F5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58DA6E62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2889FE3A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5791B807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44DD18D3" w14:textId="077FBFA0" w:rsidR="00C37362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Maria Bailey</w:t>
            </w:r>
          </w:p>
          <w:p w14:paraId="230B4526" w14:textId="77777777" w:rsidR="009352D5" w:rsidRDefault="009352D5" w:rsidP="00DC50CA">
            <w:pPr>
              <w:rPr>
                <w:rFonts w:ascii="Arial" w:eastAsiaTheme="minorEastAsia" w:hAnsi="Arial" w:cs="Arial"/>
              </w:rPr>
            </w:pPr>
          </w:p>
          <w:p w14:paraId="663B6C04" w14:textId="77777777" w:rsidR="00C37362" w:rsidRDefault="00C37362" w:rsidP="00DC50CA">
            <w:pPr>
              <w:rPr>
                <w:rFonts w:ascii="Arial" w:eastAsiaTheme="minorEastAsia" w:hAnsi="Arial" w:cs="Arial"/>
              </w:rPr>
            </w:pPr>
          </w:p>
          <w:p w14:paraId="403F98B4" w14:textId="77392488" w:rsidR="00C37362" w:rsidRPr="008424E7" w:rsidRDefault="00C37362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MP</w:t>
            </w:r>
          </w:p>
        </w:tc>
      </w:tr>
      <w:tr w:rsidR="004C6A4B" w:rsidRPr="008424E7" w14:paraId="40D6235A" w14:textId="77777777" w:rsidTr="00931D15">
        <w:trPr>
          <w:trHeight w:val="300"/>
        </w:trPr>
        <w:tc>
          <w:tcPr>
            <w:tcW w:w="846" w:type="dxa"/>
          </w:tcPr>
          <w:p w14:paraId="2D7EB9B2" w14:textId="77777777" w:rsidR="00F43210" w:rsidRPr="007B4F5F" w:rsidRDefault="00F43210" w:rsidP="00F43210">
            <w:pPr>
              <w:numPr>
                <w:ilvl w:val="0"/>
                <w:numId w:val="2"/>
              </w:numPr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32D4DB4F" w14:textId="77777777" w:rsidR="00F43210" w:rsidRDefault="00F43210" w:rsidP="00DC50CA">
            <w:r>
              <w:t>Chair’s feedback on MHCLG Event-10</w:t>
            </w:r>
            <w:r>
              <w:rPr>
                <w:vertAlign w:val="superscript"/>
              </w:rPr>
              <w:t>th</w:t>
            </w:r>
            <w:r>
              <w:t xml:space="preserve"> June 2025</w:t>
            </w:r>
            <w:r w:rsidR="00931D15">
              <w:t>.</w:t>
            </w:r>
          </w:p>
          <w:p w14:paraId="2AEE2743" w14:textId="77777777" w:rsidR="00931D15" w:rsidRDefault="00931D15" w:rsidP="00931D15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Building a legacy and make sustainable changes.</w:t>
            </w:r>
          </w:p>
          <w:p w14:paraId="0D650CB6" w14:textId="77777777" w:rsidR="00931D15" w:rsidRDefault="00931D15" w:rsidP="00931D15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Bring in additional funding from other organisations/ private sector</w:t>
            </w:r>
          </w:p>
          <w:p w14:paraId="78A54DA6" w14:textId="77777777" w:rsidR="00931D15" w:rsidRDefault="00931D15" w:rsidP="00931D15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Plans should reflect community need with evidence to reflect this.</w:t>
            </w:r>
          </w:p>
          <w:p w14:paraId="71A6AC11" w14:textId="78A0C799" w:rsidR="00931D15" w:rsidRPr="007B4F5F" w:rsidRDefault="00931D15" w:rsidP="00931D15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Expect friction and accept disagreement</w:t>
            </w:r>
          </w:p>
        </w:tc>
        <w:tc>
          <w:tcPr>
            <w:tcW w:w="2693" w:type="dxa"/>
          </w:tcPr>
          <w:p w14:paraId="2223F02E" w14:textId="3D06DEC8" w:rsidR="00931D15" w:rsidRDefault="00931D15" w:rsidP="00931D1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083" w:type="dxa"/>
          </w:tcPr>
          <w:p w14:paraId="57C1CCAE" w14:textId="77777777" w:rsidR="00F43210" w:rsidRPr="008424E7" w:rsidRDefault="00F43210" w:rsidP="00DC50CA">
            <w:pPr>
              <w:rPr>
                <w:rFonts w:ascii="Arial" w:eastAsiaTheme="minorEastAsia" w:hAnsi="Arial" w:cs="Arial"/>
              </w:rPr>
            </w:pPr>
          </w:p>
        </w:tc>
      </w:tr>
      <w:tr w:rsidR="004C6A4B" w:rsidRPr="008424E7" w14:paraId="278F5A9F" w14:textId="77777777" w:rsidTr="00931D15">
        <w:trPr>
          <w:trHeight w:val="473"/>
        </w:trPr>
        <w:tc>
          <w:tcPr>
            <w:tcW w:w="846" w:type="dxa"/>
          </w:tcPr>
          <w:p w14:paraId="7216FC00" w14:textId="77777777" w:rsidR="00F43210" w:rsidRPr="008424E7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76CE70B3" w14:textId="32868888" w:rsidR="00F43210" w:rsidRPr="0052064C" w:rsidRDefault="00F43210" w:rsidP="00DC50CA">
            <w:pPr>
              <w:rPr>
                <w:rFonts w:ascii="Arial" w:eastAsiaTheme="minorEastAsia" w:hAnsi="Arial" w:cs="Arial"/>
              </w:rPr>
            </w:pPr>
            <w:r w:rsidRPr="0052064C">
              <w:rPr>
                <w:rFonts w:ascii="Arial" w:eastAsiaTheme="minorEastAsia" w:hAnsi="Arial" w:cs="Arial"/>
              </w:rPr>
              <w:t xml:space="preserve">Any Other Business </w:t>
            </w:r>
            <w:r w:rsidR="00931D15">
              <w:rPr>
                <w:rFonts w:ascii="Arial" w:eastAsiaTheme="minorEastAsia" w:hAnsi="Arial" w:cs="Arial"/>
              </w:rPr>
              <w:t>- no</w:t>
            </w:r>
          </w:p>
          <w:p w14:paraId="68C68806" w14:textId="77777777" w:rsidR="00F43210" w:rsidRPr="008424E7" w:rsidRDefault="00F43210" w:rsidP="00DC50CA">
            <w:pPr>
              <w:pStyle w:val="ListParagraph"/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</w:tcPr>
          <w:p w14:paraId="235D37E8" w14:textId="5B0D5865" w:rsidR="00F43210" w:rsidRPr="008424E7" w:rsidRDefault="00F43210" w:rsidP="00DC50C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083" w:type="dxa"/>
          </w:tcPr>
          <w:p w14:paraId="4A367E12" w14:textId="77777777" w:rsidR="00F43210" w:rsidRPr="008424E7" w:rsidRDefault="00F43210" w:rsidP="00DC50CA">
            <w:pPr>
              <w:rPr>
                <w:rFonts w:ascii="Arial" w:eastAsiaTheme="minorEastAsia" w:hAnsi="Arial" w:cs="Arial"/>
              </w:rPr>
            </w:pPr>
          </w:p>
        </w:tc>
      </w:tr>
      <w:tr w:rsidR="004C6A4B" w:rsidRPr="008424E7" w14:paraId="4239365A" w14:textId="77777777" w:rsidTr="00931D15">
        <w:trPr>
          <w:trHeight w:val="473"/>
        </w:trPr>
        <w:tc>
          <w:tcPr>
            <w:tcW w:w="846" w:type="dxa"/>
          </w:tcPr>
          <w:p w14:paraId="419456AF" w14:textId="77777777" w:rsidR="00F43210" w:rsidRPr="008424E7" w:rsidRDefault="00F43210" w:rsidP="00F4321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Theme="minorEastAsia" w:hAnsi="Arial" w:cs="Arial"/>
              </w:rPr>
            </w:pPr>
          </w:p>
        </w:tc>
        <w:tc>
          <w:tcPr>
            <w:tcW w:w="4394" w:type="dxa"/>
          </w:tcPr>
          <w:p w14:paraId="72CE5801" w14:textId="77777777" w:rsidR="00F43210" w:rsidRPr="00A14139" w:rsidRDefault="00F43210" w:rsidP="00A14139">
            <w:pPr>
              <w:rPr>
                <w:rFonts w:ascii="Arial" w:eastAsiaTheme="minorEastAsia" w:hAnsi="Arial" w:cs="Arial"/>
              </w:rPr>
            </w:pPr>
            <w:r w:rsidRPr="00A14139">
              <w:rPr>
                <w:rFonts w:ascii="Arial" w:eastAsiaTheme="minorEastAsia" w:hAnsi="Arial" w:cs="Arial"/>
              </w:rPr>
              <w:t xml:space="preserve">Date of Next meeting: </w:t>
            </w:r>
          </w:p>
          <w:p w14:paraId="514CC228" w14:textId="08C159CB" w:rsidR="00931D15" w:rsidRPr="0052064C" w:rsidRDefault="00931D15" w:rsidP="00931D15">
            <w:pPr>
              <w:pStyle w:val="ListParagraph"/>
              <w:contextualSpacing w:val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26 July from 10am until 3pm with lunch – possibly at Bedworth Heath Community Centre</w:t>
            </w:r>
          </w:p>
          <w:p w14:paraId="043821A2" w14:textId="77777777" w:rsidR="00F43210" w:rsidRPr="008424E7" w:rsidRDefault="00F43210" w:rsidP="00931D15">
            <w:pPr>
              <w:pStyle w:val="ListParagraph"/>
              <w:contextualSpacing w:val="0"/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86EF454" w14:textId="7E4760F0" w:rsidR="00F43210" w:rsidRPr="008424E7" w:rsidRDefault="00931D15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Contact venue</w:t>
            </w:r>
          </w:p>
        </w:tc>
        <w:tc>
          <w:tcPr>
            <w:tcW w:w="1083" w:type="dxa"/>
          </w:tcPr>
          <w:p w14:paraId="53A0285C" w14:textId="584BF1C3" w:rsidR="00F43210" w:rsidRPr="008424E7" w:rsidRDefault="00931D15" w:rsidP="00DC50C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Chair </w:t>
            </w:r>
          </w:p>
        </w:tc>
      </w:tr>
    </w:tbl>
    <w:p w14:paraId="2D596AD8" w14:textId="77777777" w:rsidR="000545AD" w:rsidRPr="004C5C5B" w:rsidRDefault="000545AD" w:rsidP="004C5C5B">
      <w:pPr>
        <w:jc w:val="center"/>
        <w:rPr>
          <w:b/>
          <w:bCs/>
          <w:sz w:val="32"/>
          <w:szCs w:val="32"/>
          <w:u w:val="single"/>
        </w:rPr>
      </w:pPr>
    </w:p>
    <w:p w14:paraId="017AC05B" w14:textId="77777777" w:rsidR="001046D1" w:rsidRDefault="001046D1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of Attendees:</w:t>
      </w:r>
    </w:p>
    <w:p w14:paraId="0B6D9AED" w14:textId="70D04883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 Basra</w:t>
      </w:r>
      <w:r w:rsidR="004C6A4B">
        <w:rPr>
          <w:b/>
          <w:bCs/>
          <w:sz w:val="24"/>
          <w:szCs w:val="24"/>
        </w:rPr>
        <w:t xml:space="preserve"> - Chair</w:t>
      </w:r>
    </w:p>
    <w:p w14:paraId="03C73ED3" w14:textId="4DDE85F1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Rachel Taylor MP</w:t>
      </w:r>
    </w:p>
    <w:p w14:paraId="6800EFCA" w14:textId="12D5EE67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Satvir Dosanjh – MP`s office</w:t>
      </w:r>
    </w:p>
    <w:p w14:paraId="6F54ED06" w14:textId="7EB7D3DE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Karl Faulkner – Warwickshire Police</w:t>
      </w:r>
    </w:p>
    <w:p w14:paraId="790514F9" w14:textId="7996DD16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Spencer – Local Business Owner</w:t>
      </w:r>
    </w:p>
    <w:p w14:paraId="1596FFEA" w14:textId="56F65093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Cllr Rob Roze – NBBC Cllr</w:t>
      </w:r>
    </w:p>
    <w:p w14:paraId="77D5A413" w14:textId="25C607CF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 Whitehead – Remembrance committee</w:t>
      </w:r>
    </w:p>
    <w:p w14:paraId="0C0D74E0" w14:textId="601F6AF0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Alison Thompsom – WCAVA</w:t>
      </w:r>
    </w:p>
    <w:p w14:paraId="0638FCCC" w14:textId="0E644D57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Gill Hancock – Harbour Centre/ Life Church</w:t>
      </w:r>
    </w:p>
    <w:p w14:paraId="13FF7F0F" w14:textId="2012CB5F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Lynda Greasley – Bedworth Society</w:t>
      </w:r>
    </w:p>
    <w:p w14:paraId="7A91097D" w14:textId="41D1E280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 Dave Poultney</w:t>
      </w:r>
    </w:p>
    <w:p w14:paraId="093CDEC9" w14:textId="3C8BA8AD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Maria Bailey – NBBC</w:t>
      </w:r>
    </w:p>
    <w:p w14:paraId="76A5545E" w14:textId="4FEC889D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Richard </w:t>
      </w:r>
      <w:proofErr w:type="spellStart"/>
      <w:r>
        <w:rPr>
          <w:b/>
          <w:bCs/>
          <w:sz w:val="24"/>
          <w:szCs w:val="24"/>
        </w:rPr>
        <w:t>Nedjati</w:t>
      </w:r>
      <w:proofErr w:type="spellEnd"/>
      <w:r>
        <w:rPr>
          <w:b/>
          <w:bCs/>
          <w:sz w:val="24"/>
          <w:szCs w:val="24"/>
        </w:rPr>
        <w:t xml:space="preserve"> – GP</w:t>
      </w:r>
    </w:p>
    <w:p w14:paraId="7D291D78" w14:textId="7BEAA926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Simon Aucott – local business owner</w:t>
      </w:r>
    </w:p>
    <w:p w14:paraId="566A5A7B" w14:textId="473A32C6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Gary Palmer – WCC</w:t>
      </w:r>
    </w:p>
    <w:p w14:paraId="788FE94B" w14:textId="33B0901B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Joanne – local business owner</w:t>
      </w:r>
    </w:p>
    <w:p w14:paraId="4E38A104" w14:textId="512AFF73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Maz – to support Joanne above</w:t>
      </w:r>
    </w:p>
    <w:p w14:paraId="255DC0C6" w14:textId="6ED64318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 Hunt – People in Action</w:t>
      </w:r>
    </w:p>
    <w:p w14:paraId="165FA62E" w14:textId="4C1E6068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Cllr Bill Hancox – NBBC Cllr</w:t>
      </w:r>
    </w:p>
    <w:p w14:paraId="1645745E" w14:textId="55F4854F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Julie Bromage – Local business owner</w:t>
      </w:r>
    </w:p>
    <w:p w14:paraId="5E40FBF4" w14:textId="50FA5A5E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Phillip Secombe – PCC</w:t>
      </w:r>
    </w:p>
    <w:p w14:paraId="75C5D022" w14:textId="193BE4E5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Dylan Draper – Nicholas </w:t>
      </w:r>
      <w:proofErr w:type="spellStart"/>
      <w:r>
        <w:rPr>
          <w:b/>
          <w:bCs/>
          <w:sz w:val="24"/>
          <w:szCs w:val="24"/>
        </w:rPr>
        <w:t>Chamberlaine</w:t>
      </w:r>
      <w:proofErr w:type="spellEnd"/>
      <w:r>
        <w:rPr>
          <w:b/>
          <w:bCs/>
          <w:sz w:val="24"/>
          <w:szCs w:val="24"/>
        </w:rPr>
        <w:t xml:space="preserve"> student</w:t>
      </w:r>
    </w:p>
    <w:p w14:paraId="62797729" w14:textId="66402269" w:rsidR="004C5C5B" w:rsidRDefault="004C5C5B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Aryan Bruzas – Nicholas </w:t>
      </w:r>
      <w:proofErr w:type="spellStart"/>
      <w:r>
        <w:rPr>
          <w:b/>
          <w:bCs/>
          <w:sz w:val="24"/>
          <w:szCs w:val="24"/>
        </w:rPr>
        <w:t>Chamberlaine</w:t>
      </w:r>
      <w:proofErr w:type="spellEnd"/>
      <w:r>
        <w:rPr>
          <w:b/>
          <w:bCs/>
          <w:sz w:val="24"/>
          <w:szCs w:val="24"/>
        </w:rPr>
        <w:t xml:space="preserve"> student</w:t>
      </w:r>
    </w:p>
    <w:p w14:paraId="1B7E524B" w14:textId="021CA796" w:rsidR="005966FC" w:rsidRDefault="005966FC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Peter Kingham – Life Church</w:t>
      </w:r>
    </w:p>
    <w:p w14:paraId="7C2E1A54" w14:textId="602FEB9E" w:rsidR="005966FC" w:rsidRDefault="005966FC" w:rsidP="005966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Sue Tonks</w:t>
      </w:r>
      <w:r w:rsidR="004450BE">
        <w:rPr>
          <w:b/>
          <w:bCs/>
          <w:sz w:val="24"/>
          <w:szCs w:val="24"/>
        </w:rPr>
        <w:t xml:space="preserve"> – Business owner</w:t>
      </w:r>
    </w:p>
    <w:p w14:paraId="165ACBD3" w14:textId="5057050B" w:rsidR="005966FC" w:rsidRDefault="00393BA0" w:rsidP="004C5C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Sarah Grassby – Warwickshire Police</w:t>
      </w:r>
    </w:p>
    <w:p w14:paraId="4FC620BB" w14:textId="77777777" w:rsidR="000545AD" w:rsidRDefault="000545AD" w:rsidP="004C5C5B">
      <w:pPr>
        <w:rPr>
          <w:b/>
          <w:bCs/>
          <w:sz w:val="24"/>
          <w:szCs w:val="24"/>
        </w:rPr>
      </w:pPr>
    </w:p>
    <w:p w14:paraId="67AE93FC" w14:textId="77777777" w:rsidR="0084723D" w:rsidRDefault="0084723D" w:rsidP="000545AD">
      <w:pPr>
        <w:rPr>
          <w:b/>
          <w:bCs/>
          <w:sz w:val="24"/>
          <w:szCs w:val="24"/>
        </w:rPr>
      </w:pPr>
    </w:p>
    <w:p w14:paraId="31822625" w14:textId="77777777" w:rsidR="000545AD" w:rsidRPr="000545AD" w:rsidRDefault="000545AD" w:rsidP="000545AD">
      <w:pPr>
        <w:rPr>
          <w:b/>
          <w:bCs/>
          <w:sz w:val="24"/>
          <w:szCs w:val="24"/>
        </w:rPr>
      </w:pPr>
    </w:p>
    <w:p w14:paraId="439A428E" w14:textId="3DE78342" w:rsidR="000545AD" w:rsidRPr="000545AD" w:rsidRDefault="000545AD" w:rsidP="000545AD">
      <w:pPr>
        <w:pStyle w:val="ListParagraph"/>
        <w:rPr>
          <w:b/>
          <w:bCs/>
          <w:sz w:val="24"/>
          <w:szCs w:val="24"/>
        </w:rPr>
      </w:pPr>
    </w:p>
    <w:p w14:paraId="3A4D1DE3" w14:textId="77777777" w:rsidR="004C5C5B" w:rsidRPr="004C5C5B" w:rsidRDefault="004C5C5B" w:rsidP="004C5C5B">
      <w:pPr>
        <w:rPr>
          <w:b/>
          <w:bCs/>
          <w:sz w:val="24"/>
          <w:szCs w:val="24"/>
        </w:rPr>
      </w:pPr>
    </w:p>
    <w:p w14:paraId="6CE4E9A5" w14:textId="77777777" w:rsidR="004C5C5B" w:rsidRDefault="004C5C5B"/>
    <w:sectPr w:rsidR="004C5C5B" w:rsidSect="00421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B39"/>
    <w:multiLevelType w:val="hybridMultilevel"/>
    <w:tmpl w:val="1B3E94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9EF"/>
    <w:multiLevelType w:val="hybridMultilevel"/>
    <w:tmpl w:val="5930D7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695"/>
    <w:multiLevelType w:val="hybridMultilevel"/>
    <w:tmpl w:val="B832CD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D16DA"/>
    <w:multiLevelType w:val="hybridMultilevel"/>
    <w:tmpl w:val="FC248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C10ACDE">
      <w:start w:val="1"/>
      <w:numFmt w:val="lowerLetter"/>
      <w:lvlText w:val="%2."/>
      <w:lvlJc w:val="left"/>
      <w:pPr>
        <w:ind w:left="1440" w:hanging="360"/>
      </w:pPr>
    </w:lvl>
    <w:lvl w:ilvl="2" w:tplc="546E974A">
      <w:start w:val="1"/>
      <w:numFmt w:val="lowerRoman"/>
      <w:lvlText w:val="%3."/>
      <w:lvlJc w:val="right"/>
      <w:pPr>
        <w:ind w:left="2160" w:hanging="180"/>
      </w:pPr>
    </w:lvl>
    <w:lvl w:ilvl="3" w:tplc="8916AA30">
      <w:start w:val="1"/>
      <w:numFmt w:val="decimal"/>
      <w:lvlText w:val="%4."/>
      <w:lvlJc w:val="left"/>
      <w:pPr>
        <w:ind w:left="2880" w:hanging="360"/>
      </w:pPr>
    </w:lvl>
    <w:lvl w:ilvl="4" w:tplc="75524E42">
      <w:start w:val="1"/>
      <w:numFmt w:val="lowerLetter"/>
      <w:lvlText w:val="%5."/>
      <w:lvlJc w:val="left"/>
      <w:pPr>
        <w:ind w:left="3600" w:hanging="360"/>
      </w:pPr>
    </w:lvl>
    <w:lvl w:ilvl="5" w:tplc="93F8F8F6">
      <w:start w:val="1"/>
      <w:numFmt w:val="lowerRoman"/>
      <w:lvlText w:val="%6."/>
      <w:lvlJc w:val="right"/>
      <w:pPr>
        <w:ind w:left="4320" w:hanging="180"/>
      </w:pPr>
    </w:lvl>
    <w:lvl w:ilvl="6" w:tplc="B3508DEA">
      <w:start w:val="1"/>
      <w:numFmt w:val="decimal"/>
      <w:lvlText w:val="%7."/>
      <w:lvlJc w:val="left"/>
      <w:pPr>
        <w:ind w:left="5040" w:hanging="360"/>
      </w:pPr>
    </w:lvl>
    <w:lvl w:ilvl="7" w:tplc="E96689C2">
      <w:start w:val="1"/>
      <w:numFmt w:val="lowerLetter"/>
      <w:lvlText w:val="%8."/>
      <w:lvlJc w:val="left"/>
      <w:pPr>
        <w:ind w:left="5760" w:hanging="360"/>
      </w:pPr>
    </w:lvl>
    <w:lvl w:ilvl="8" w:tplc="7DD6FE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40740"/>
    <w:multiLevelType w:val="hybridMultilevel"/>
    <w:tmpl w:val="879267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42200"/>
    <w:multiLevelType w:val="hybridMultilevel"/>
    <w:tmpl w:val="2B523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C05A8"/>
    <w:multiLevelType w:val="hybridMultilevel"/>
    <w:tmpl w:val="1290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541950">
    <w:abstractNumId w:val="6"/>
  </w:num>
  <w:num w:numId="2" w16cid:durableId="956762142">
    <w:abstractNumId w:val="3"/>
  </w:num>
  <w:num w:numId="3" w16cid:durableId="1756123814">
    <w:abstractNumId w:val="5"/>
  </w:num>
  <w:num w:numId="4" w16cid:durableId="849753985">
    <w:abstractNumId w:val="0"/>
  </w:num>
  <w:num w:numId="5" w16cid:durableId="1508713838">
    <w:abstractNumId w:val="4"/>
  </w:num>
  <w:num w:numId="6" w16cid:durableId="1199127769">
    <w:abstractNumId w:val="2"/>
  </w:num>
  <w:num w:numId="7" w16cid:durableId="94518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5B"/>
    <w:rsid w:val="000545AD"/>
    <w:rsid w:val="000A338C"/>
    <w:rsid w:val="001046D1"/>
    <w:rsid w:val="00163C1D"/>
    <w:rsid w:val="00165AF0"/>
    <w:rsid w:val="00393BA0"/>
    <w:rsid w:val="00421685"/>
    <w:rsid w:val="004450BE"/>
    <w:rsid w:val="004C5C5B"/>
    <w:rsid w:val="004C6A4B"/>
    <w:rsid w:val="005966FC"/>
    <w:rsid w:val="007641D1"/>
    <w:rsid w:val="007D6794"/>
    <w:rsid w:val="008422F9"/>
    <w:rsid w:val="0084723D"/>
    <w:rsid w:val="009028AD"/>
    <w:rsid w:val="00931D15"/>
    <w:rsid w:val="009352D5"/>
    <w:rsid w:val="00991AC8"/>
    <w:rsid w:val="00A06668"/>
    <w:rsid w:val="00A14139"/>
    <w:rsid w:val="00A5246E"/>
    <w:rsid w:val="00B826A9"/>
    <w:rsid w:val="00C37362"/>
    <w:rsid w:val="00E24275"/>
    <w:rsid w:val="00E41D2F"/>
    <w:rsid w:val="00E8134B"/>
    <w:rsid w:val="00EB1F17"/>
    <w:rsid w:val="00F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2924"/>
  <w15:chartTrackingRefBased/>
  <w15:docId w15:val="{C00ED806-1ED7-472D-95B5-81FE90B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C5B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43210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Ingleston</dc:creator>
  <cp:keywords/>
  <dc:description/>
  <cp:lastModifiedBy>Carol Ingleston</cp:lastModifiedBy>
  <cp:revision>14</cp:revision>
  <dcterms:created xsi:type="dcterms:W3CDTF">2025-06-23T13:49:00Z</dcterms:created>
  <dcterms:modified xsi:type="dcterms:W3CDTF">2025-06-30T15:21:00Z</dcterms:modified>
</cp:coreProperties>
</file>