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8742" w14:textId="33F8B78D" w:rsidR="00307AC2" w:rsidRDefault="00307AC2"/>
    <w:p w14:paraId="28372E1D" w14:textId="77777777" w:rsidR="00F434E0" w:rsidRPr="00F434E0" w:rsidRDefault="00F434E0" w:rsidP="00F434E0"/>
    <w:p w14:paraId="1D8E7964" w14:textId="77777777" w:rsidR="00F434E0" w:rsidRPr="00F434E0" w:rsidRDefault="00F434E0" w:rsidP="00F434E0"/>
    <w:p w14:paraId="3B12E842" w14:textId="77777777" w:rsidR="00F434E0" w:rsidRPr="00F434E0" w:rsidRDefault="00F434E0" w:rsidP="00F434E0"/>
    <w:p w14:paraId="42382D9D" w14:textId="77777777" w:rsidR="00F434E0" w:rsidRPr="00F434E0" w:rsidRDefault="00F434E0" w:rsidP="00F434E0"/>
    <w:p w14:paraId="690D8BA1" w14:textId="77777777" w:rsidR="00F434E0" w:rsidRPr="00F434E0" w:rsidRDefault="00F434E0" w:rsidP="00F434E0"/>
    <w:p w14:paraId="28C7FED4" w14:textId="74AD6D7D" w:rsidR="00F434E0" w:rsidRPr="00F434E0" w:rsidRDefault="00F434E0" w:rsidP="00F434E0"/>
    <w:p w14:paraId="45A30B68" w14:textId="6EAF86E1" w:rsidR="00F434E0" w:rsidRPr="00F434E0" w:rsidRDefault="00F434E0" w:rsidP="00F434E0"/>
    <w:p w14:paraId="6C9FEC3E" w14:textId="3C4E5044" w:rsidR="00F434E0" w:rsidRPr="00F434E0" w:rsidRDefault="00D0399D" w:rsidP="00F434E0">
      <w:r>
        <w:rPr>
          <w:noProof/>
          <w:lang w:eastAsia="en-GB"/>
        </w:rPr>
        <w:drawing>
          <wp:anchor distT="0" distB="0" distL="114300" distR="114300" simplePos="0" relativeHeight="251657728" behindDoc="0" locked="0" layoutInCell="1" allowOverlap="1" wp14:anchorId="0AB463B1" wp14:editId="0360253D">
            <wp:simplePos x="0" y="0"/>
            <wp:positionH relativeFrom="margin">
              <wp:posOffset>1943100</wp:posOffset>
            </wp:positionH>
            <wp:positionV relativeFrom="paragraph">
              <wp:posOffset>19050</wp:posOffset>
            </wp:positionV>
            <wp:extent cx="2762250" cy="1302385"/>
            <wp:effectExtent l="0" t="0" r="0" b="0"/>
            <wp:wrapSquare wrapText="bothSides"/>
            <wp:docPr id="2" name="Picture 2" descr="NBBC-Header-7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BC-Header-700-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9954" b="22689"/>
                    <a:stretch/>
                  </pic:blipFill>
                  <pic:spPr bwMode="auto">
                    <a:xfrm>
                      <a:off x="0" y="0"/>
                      <a:ext cx="2762250" cy="1302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C4E26C" w14:textId="77777777" w:rsidR="00F434E0" w:rsidRPr="00F434E0" w:rsidRDefault="00F434E0" w:rsidP="00F434E0"/>
    <w:p w14:paraId="3CEE9242" w14:textId="77777777" w:rsidR="00F434E0" w:rsidRPr="00F434E0" w:rsidRDefault="00F434E0" w:rsidP="00F434E0"/>
    <w:p w14:paraId="38B458D1" w14:textId="77777777" w:rsidR="00F434E0" w:rsidRPr="00F434E0" w:rsidRDefault="00F434E0" w:rsidP="00F434E0"/>
    <w:p w14:paraId="5823AAAA" w14:textId="77777777" w:rsidR="00F434E0" w:rsidRDefault="00F434E0" w:rsidP="00F434E0"/>
    <w:p w14:paraId="28E9D50B" w14:textId="77777777" w:rsidR="00252397" w:rsidRDefault="00252397" w:rsidP="00F434E0">
      <w:pPr>
        <w:jc w:val="center"/>
        <w:rPr>
          <w:rFonts w:ascii="Arial" w:hAnsi="Arial" w:cs="Arial"/>
          <w:b/>
          <w:bCs/>
          <w:sz w:val="36"/>
          <w:szCs w:val="36"/>
        </w:rPr>
      </w:pPr>
    </w:p>
    <w:p w14:paraId="3FD169B2" w14:textId="77777777" w:rsidR="00252397" w:rsidRDefault="00252397" w:rsidP="00F434E0">
      <w:pPr>
        <w:jc w:val="center"/>
        <w:rPr>
          <w:rFonts w:ascii="Arial" w:hAnsi="Arial" w:cs="Arial"/>
          <w:b/>
          <w:bCs/>
          <w:sz w:val="36"/>
          <w:szCs w:val="36"/>
        </w:rPr>
      </w:pPr>
    </w:p>
    <w:p w14:paraId="4EFADB9B" w14:textId="77777777" w:rsidR="002241F7" w:rsidRDefault="00F434E0" w:rsidP="00F434E0">
      <w:pPr>
        <w:jc w:val="center"/>
        <w:rPr>
          <w:rFonts w:ascii="Arial" w:hAnsi="Arial" w:cs="Arial"/>
          <w:b/>
          <w:bCs/>
          <w:sz w:val="36"/>
          <w:szCs w:val="36"/>
        </w:rPr>
      </w:pPr>
      <w:r w:rsidRPr="00F434E0">
        <w:rPr>
          <w:rFonts w:ascii="Arial" w:hAnsi="Arial" w:cs="Arial"/>
          <w:b/>
          <w:bCs/>
          <w:sz w:val="36"/>
          <w:szCs w:val="36"/>
        </w:rPr>
        <w:t xml:space="preserve">Housing Solutions </w:t>
      </w:r>
      <w:r w:rsidR="002241F7">
        <w:rPr>
          <w:rFonts w:ascii="Arial" w:hAnsi="Arial" w:cs="Arial"/>
          <w:b/>
          <w:bCs/>
          <w:sz w:val="36"/>
          <w:szCs w:val="36"/>
        </w:rPr>
        <w:t xml:space="preserve">Temporary Accommodation </w:t>
      </w:r>
    </w:p>
    <w:p w14:paraId="063DA7C2" w14:textId="317E2269" w:rsidR="00F434E0" w:rsidRDefault="00252397" w:rsidP="00F434E0">
      <w:pPr>
        <w:jc w:val="center"/>
        <w:rPr>
          <w:rFonts w:ascii="Arial" w:hAnsi="Arial" w:cs="Arial"/>
          <w:b/>
          <w:bCs/>
          <w:sz w:val="36"/>
          <w:szCs w:val="36"/>
        </w:rPr>
      </w:pPr>
      <w:r>
        <w:rPr>
          <w:rFonts w:ascii="Arial" w:hAnsi="Arial" w:cs="Arial"/>
          <w:b/>
          <w:bCs/>
          <w:sz w:val="36"/>
          <w:szCs w:val="36"/>
        </w:rPr>
        <w:t>Storage</w:t>
      </w:r>
      <w:r w:rsidR="00F434E0" w:rsidRPr="00F434E0">
        <w:rPr>
          <w:rFonts w:ascii="Arial" w:hAnsi="Arial" w:cs="Arial"/>
          <w:b/>
          <w:bCs/>
          <w:sz w:val="36"/>
          <w:szCs w:val="36"/>
        </w:rPr>
        <w:t xml:space="preserve"> Policy</w:t>
      </w:r>
    </w:p>
    <w:p w14:paraId="6B7D6E74" w14:textId="77777777" w:rsidR="00F434E0" w:rsidRPr="00F434E0" w:rsidRDefault="00F434E0" w:rsidP="00F434E0">
      <w:pPr>
        <w:rPr>
          <w:rFonts w:ascii="Arial" w:hAnsi="Arial" w:cs="Arial"/>
          <w:sz w:val="36"/>
          <w:szCs w:val="36"/>
        </w:rPr>
      </w:pPr>
    </w:p>
    <w:p w14:paraId="0855A5D2" w14:textId="77777777" w:rsidR="00F434E0" w:rsidRPr="00F434E0" w:rsidRDefault="00F434E0" w:rsidP="00F434E0">
      <w:pPr>
        <w:rPr>
          <w:rFonts w:ascii="Arial" w:hAnsi="Arial" w:cs="Arial"/>
          <w:sz w:val="36"/>
          <w:szCs w:val="36"/>
        </w:rPr>
      </w:pPr>
    </w:p>
    <w:p w14:paraId="6B9E663E" w14:textId="77777777" w:rsidR="00F434E0" w:rsidRDefault="00F434E0" w:rsidP="00F434E0">
      <w:pPr>
        <w:rPr>
          <w:rFonts w:ascii="Arial" w:hAnsi="Arial" w:cs="Arial"/>
          <w:b/>
          <w:bCs/>
          <w:sz w:val="36"/>
          <w:szCs w:val="36"/>
        </w:rPr>
      </w:pPr>
    </w:p>
    <w:p w14:paraId="4740BEEA" w14:textId="19E8E04A" w:rsidR="00F434E0" w:rsidRDefault="00F434E0" w:rsidP="00F434E0">
      <w:pPr>
        <w:tabs>
          <w:tab w:val="left" w:pos="5820"/>
        </w:tabs>
        <w:rPr>
          <w:rFonts w:ascii="Arial" w:hAnsi="Arial" w:cs="Arial"/>
          <w:sz w:val="36"/>
          <w:szCs w:val="36"/>
        </w:rPr>
      </w:pPr>
      <w:r>
        <w:rPr>
          <w:rFonts w:ascii="Arial" w:hAnsi="Arial" w:cs="Arial"/>
          <w:sz w:val="36"/>
          <w:szCs w:val="36"/>
        </w:rPr>
        <w:tab/>
      </w:r>
    </w:p>
    <w:p w14:paraId="63A7726A" w14:textId="77777777" w:rsidR="00F434E0" w:rsidRDefault="00F434E0" w:rsidP="00F434E0">
      <w:pPr>
        <w:tabs>
          <w:tab w:val="left" w:pos="5820"/>
        </w:tabs>
        <w:rPr>
          <w:rFonts w:ascii="Arial" w:hAnsi="Arial" w:cs="Arial"/>
          <w:sz w:val="36"/>
          <w:szCs w:val="36"/>
        </w:rPr>
      </w:pPr>
    </w:p>
    <w:p w14:paraId="0E00EC81" w14:textId="77777777" w:rsidR="00F434E0" w:rsidRDefault="00F434E0" w:rsidP="00F434E0">
      <w:pPr>
        <w:tabs>
          <w:tab w:val="left" w:pos="5820"/>
        </w:tabs>
        <w:rPr>
          <w:rFonts w:ascii="Arial" w:hAnsi="Arial" w:cs="Arial"/>
          <w:sz w:val="36"/>
          <w:szCs w:val="36"/>
        </w:rPr>
      </w:pPr>
    </w:p>
    <w:p w14:paraId="5030EAE0" w14:textId="77777777" w:rsidR="00520878" w:rsidRDefault="00520878" w:rsidP="00F434E0">
      <w:pPr>
        <w:tabs>
          <w:tab w:val="left" w:pos="5820"/>
        </w:tabs>
        <w:rPr>
          <w:rFonts w:ascii="Arial" w:hAnsi="Arial" w:cs="Arial"/>
          <w:sz w:val="36"/>
          <w:szCs w:val="36"/>
        </w:rPr>
      </w:pPr>
    </w:p>
    <w:p w14:paraId="78E4C3A3" w14:textId="4BF434CE" w:rsidR="00F434E0" w:rsidRPr="00F434E0" w:rsidRDefault="00F434E0" w:rsidP="00F434E0">
      <w:pPr>
        <w:tabs>
          <w:tab w:val="left" w:pos="5820"/>
        </w:tabs>
        <w:rPr>
          <w:rFonts w:ascii="Arial" w:hAnsi="Arial" w:cs="Arial"/>
          <w:b/>
          <w:bCs/>
          <w:sz w:val="24"/>
          <w:szCs w:val="24"/>
        </w:rPr>
      </w:pPr>
      <w:r w:rsidRPr="00F434E0">
        <w:rPr>
          <w:rFonts w:ascii="Arial" w:hAnsi="Arial" w:cs="Arial"/>
          <w:b/>
          <w:bCs/>
          <w:sz w:val="24"/>
          <w:szCs w:val="24"/>
        </w:rPr>
        <w:t>Issued by Housing &amp; Communities</w:t>
      </w:r>
    </w:p>
    <w:p w14:paraId="3028EE24" w14:textId="454B99A9" w:rsidR="00F434E0" w:rsidRDefault="00384645" w:rsidP="00F434E0">
      <w:pPr>
        <w:tabs>
          <w:tab w:val="left" w:pos="5820"/>
        </w:tabs>
        <w:rPr>
          <w:rFonts w:ascii="Arial" w:hAnsi="Arial" w:cs="Arial"/>
          <w:b/>
          <w:bCs/>
          <w:sz w:val="24"/>
          <w:szCs w:val="24"/>
        </w:rPr>
      </w:pPr>
      <w:r>
        <w:rPr>
          <w:rFonts w:ascii="Arial" w:hAnsi="Arial" w:cs="Arial"/>
          <w:b/>
          <w:bCs/>
          <w:sz w:val="24"/>
          <w:szCs w:val="24"/>
        </w:rPr>
        <w:t>February 2024</w:t>
      </w:r>
    </w:p>
    <w:p w14:paraId="0E14903A" w14:textId="77777777" w:rsidR="00F434E0" w:rsidRPr="00F434E0" w:rsidRDefault="00F434E0" w:rsidP="00F434E0">
      <w:pPr>
        <w:rPr>
          <w:rFonts w:ascii="Arial" w:hAnsi="Arial" w:cs="Arial"/>
          <w:sz w:val="24"/>
          <w:szCs w:val="24"/>
        </w:rPr>
      </w:pPr>
    </w:p>
    <w:p w14:paraId="4C118693" w14:textId="77777777" w:rsidR="00F434E0" w:rsidRPr="00F434E0" w:rsidRDefault="00F434E0" w:rsidP="00F434E0">
      <w:pPr>
        <w:rPr>
          <w:rFonts w:ascii="Arial" w:hAnsi="Arial" w:cs="Arial"/>
          <w:sz w:val="24"/>
          <w:szCs w:val="24"/>
        </w:rPr>
      </w:pPr>
    </w:p>
    <w:p w14:paraId="463741F3" w14:textId="77777777" w:rsidR="00F434E0" w:rsidRDefault="00F434E0" w:rsidP="00F434E0">
      <w:pPr>
        <w:rPr>
          <w:rFonts w:ascii="Arial" w:hAnsi="Arial" w:cs="Arial"/>
          <w:b/>
          <w:bCs/>
          <w:sz w:val="24"/>
          <w:szCs w:val="24"/>
        </w:rPr>
      </w:pPr>
    </w:p>
    <w:p w14:paraId="34ED0A69" w14:textId="04B535D1" w:rsidR="00F434E0" w:rsidRDefault="00F434E0" w:rsidP="00F434E0">
      <w:pPr>
        <w:tabs>
          <w:tab w:val="left" w:pos="4125"/>
        </w:tabs>
        <w:rPr>
          <w:rFonts w:ascii="Arial" w:hAnsi="Arial" w:cs="Arial"/>
          <w:sz w:val="24"/>
          <w:szCs w:val="24"/>
        </w:rPr>
      </w:pPr>
      <w:r>
        <w:rPr>
          <w:rFonts w:ascii="Arial" w:hAnsi="Arial" w:cs="Arial"/>
          <w:sz w:val="24"/>
          <w:szCs w:val="24"/>
        </w:rPr>
        <w:lastRenderedPageBreak/>
        <w:tab/>
      </w:r>
    </w:p>
    <w:p w14:paraId="057C8EE8" w14:textId="22E62975" w:rsidR="00F434E0" w:rsidRDefault="00F434E0" w:rsidP="00F434E0">
      <w:pPr>
        <w:tabs>
          <w:tab w:val="left" w:pos="4125"/>
        </w:tabs>
        <w:jc w:val="center"/>
        <w:rPr>
          <w:rFonts w:ascii="Arial" w:hAnsi="Arial" w:cs="Arial"/>
          <w:b/>
          <w:bCs/>
          <w:sz w:val="24"/>
          <w:szCs w:val="24"/>
        </w:rPr>
      </w:pPr>
      <w:r w:rsidRPr="00F434E0">
        <w:rPr>
          <w:rFonts w:ascii="Arial" w:hAnsi="Arial" w:cs="Arial"/>
          <w:b/>
          <w:bCs/>
          <w:sz w:val="24"/>
          <w:szCs w:val="24"/>
        </w:rPr>
        <w:t xml:space="preserve">Housing Solutions </w:t>
      </w:r>
      <w:r w:rsidR="00520878">
        <w:rPr>
          <w:rFonts w:ascii="Arial" w:hAnsi="Arial" w:cs="Arial"/>
          <w:b/>
          <w:bCs/>
          <w:sz w:val="24"/>
          <w:szCs w:val="24"/>
        </w:rPr>
        <w:t>Storage</w:t>
      </w:r>
      <w:r w:rsidRPr="00F434E0">
        <w:rPr>
          <w:rFonts w:ascii="Arial" w:hAnsi="Arial" w:cs="Arial"/>
          <w:b/>
          <w:bCs/>
          <w:sz w:val="24"/>
          <w:szCs w:val="24"/>
        </w:rPr>
        <w:t xml:space="preserve"> Policy Quality Record</w:t>
      </w:r>
    </w:p>
    <w:tbl>
      <w:tblPr>
        <w:tblStyle w:val="TableGrid"/>
        <w:tblpPr w:leftFromText="180" w:rightFromText="180" w:vertAnchor="text" w:horzAnchor="margin" w:tblpXSpec="center" w:tblpY="269"/>
        <w:tblW w:w="0" w:type="auto"/>
        <w:tblLook w:val="04A0" w:firstRow="1" w:lastRow="0" w:firstColumn="1" w:lastColumn="0" w:noHBand="0" w:noVBand="1"/>
      </w:tblPr>
      <w:tblGrid>
        <w:gridCol w:w="1517"/>
        <w:gridCol w:w="1517"/>
        <w:gridCol w:w="1552"/>
        <w:gridCol w:w="1517"/>
        <w:gridCol w:w="1517"/>
      </w:tblGrid>
      <w:tr w:rsidR="00F434E0" w14:paraId="58D9BF83" w14:textId="77777777" w:rsidTr="00F434E0">
        <w:trPr>
          <w:trHeight w:val="463"/>
        </w:trPr>
        <w:tc>
          <w:tcPr>
            <w:tcW w:w="1517" w:type="dxa"/>
            <w:shd w:val="clear" w:color="auto" w:fill="BFBFBF" w:themeFill="background1" w:themeFillShade="BF"/>
            <w:vAlign w:val="center"/>
          </w:tcPr>
          <w:p w14:paraId="5C1644EA"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Revision</w:t>
            </w:r>
          </w:p>
        </w:tc>
        <w:tc>
          <w:tcPr>
            <w:tcW w:w="1517" w:type="dxa"/>
            <w:shd w:val="clear" w:color="auto" w:fill="BFBFBF" w:themeFill="background1" w:themeFillShade="BF"/>
            <w:vAlign w:val="center"/>
          </w:tcPr>
          <w:p w14:paraId="5D5EAFA1"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Date</w:t>
            </w:r>
          </w:p>
        </w:tc>
        <w:tc>
          <w:tcPr>
            <w:tcW w:w="1552" w:type="dxa"/>
            <w:shd w:val="clear" w:color="auto" w:fill="BFBFBF" w:themeFill="background1" w:themeFillShade="BF"/>
            <w:vAlign w:val="center"/>
          </w:tcPr>
          <w:p w14:paraId="14849F8A"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Description</w:t>
            </w:r>
          </w:p>
        </w:tc>
        <w:tc>
          <w:tcPr>
            <w:tcW w:w="1517" w:type="dxa"/>
            <w:shd w:val="clear" w:color="auto" w:fill="BFBFBF" w:themeFill="background1" w:themeFillShade="BF"/>
            <w:vAlign w:val="center"/>
          </w:tcPr>
          <w:p w14:paraId="3EE921C3"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Stage</w:t>
            </w:r>
          </w:p>
        </w:tc>
        <w:tc>
          <w:tcPr>
            <w:tcW w:w="1517" w:type="dxa"/>
            <w:shd w:val="clear" w:color="auto" w:fill="BFBFBF" w:themeFill="background1" w:themeFillShade="BF"/>
            <w:vAlign w:val="center"/>
          </w:tcPr>
          <w:p w14:paraId="10C10B43"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Agreed</w:t>
            </w:r>
          </w:p>
        </w:tc>
      </w:tr>
      <w:tr w:rsidR="00F434E0" w14:paraId="36004E38" w14:textId="77777777" w:rsidTr="00F434E0">
        <w:trPr>
          <w:trHeight w:val="463"/>
        </w:trPr>
        <w:tc>
          <w:tcPr>
            <w:tcW w:w="1517" w:type="dxa"/>
            <w:vAlign w:val="center"/>
          </w:tcPr>
          <w:p w14:paraId="3494EAF1" w14:textId="41974EA5"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Draft</w:t>
            </w:r>
          </w:p>
        </w:tc>
        <w:tc>
          <w:tcPr>
            <w:tcW w:w="1517" w:type="dxa"/>
            <w:vAlign w:val="center"/>
          </w:tcPr>
          <w:p w14:paraId="5005FE09" w14:textId="154A18B3" w:rsidR="00F434E0" w:rsidRPr="00F434E0" w:rsidRDefault="00384645" w:rsidP="00F434E0">
            <w:pPr>
              <w:tabs>
                <w:tab w:val="left" w:pos="4125"/>
              </w:tabs>
              <w:jc w:val="center"/>
              <w:rPr>
                <w:rFonts w:ascii="Arial" w:hAnsi="Arial" w:cs="Arial"/>
                <w:sz w:val="20"/>
                <w:szCs w:val="20"/>
              </w:rPr>
            </w:pPr>
            <w:r>
              <w:rPr>
                <w:rFonts w:ascii="Arial" w:hAnsi="Arial" w:cs="Arial"/>
                <w:sz w:val="20"/>
                <w:szCs w:val="20"/>
              </w:rPr>
              <w:t>February 2024</w:t>
            </w:r>
          </w:p>
        </w:tc>
        <w:tc>
          <w:tcPr>
            <w:tcW w:w="1552" w:type="dxa"/>
            <w:vAlign w:val="center"/>
          </w:tcPr>
          <w:p w14:paraId="10EF7AFC" w14:textId="24A1CA7C"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First revision</w:t>
            </w:r>
          </w:p>
        </w:tc>
        <w:tc>
          <w:tcPr>
            <w:tcW w:w="1517" w:type="dxa"/>
            <w:vAlign w:val="center"/>
          </w:tcPr>
          <w:p w14:paraId="4E4DD59C" w14:textId="043349A5"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Draft</w:t>
            </w:r>
          </w:p>
        </w:tc>
        <w:tc>
          <w:tcPr>
            <w:tcW w:w="1517" w:type="dxa"/>
            <w:vAlign w:val="center"/>
          </w:tcPr>
          <w:p w14:paraId="1B08A721" w14:textId="77777777" w:rsidR="00F434E0" w:rsidRPr="00F434E0" w:rsidRDefault="00F434E0" w:rsidP="00F434E0">
            <w:pPr>
              <w:tabs>
                <w:tab w:val="left" w:pos="4125"/>
              </w:tabs>
              <w:jc w:val="center"/>
              <w:rPr>
                <w:rFonts w:ascii="Arial" w:hAnsi="Arial" w:cs="Arial"/>
                <w:sz w:val="20"/>
                <w:szCs w:val="20"/>
              </w:rPr>
            </w:pPr>
          </w:p>
        </w:tc>
      </w:tr>
      <w:tr w:rsidR="00F434E0" w14:paraId="68A00F3C" w14:textId="77777777" w:rsidTr="00F434E0">
        <w:trPr>
          <w:trHeight w:val="463"/>
        </w:trPr>
        <w:tc>
          <w:tcPr>
            <w:tcW w:w="1517" w:type="dxa"/>
            <w:vAlign w:val="center"/>
          </w:tcPr>
          <w:p w14:paraId="44C57AC8" w14:textId="7A6B6FB2" w:rsidR="00F434E0" w:rsidRPr="00F434E0" w:rsidRDefault="00396B3F" w:rsidP="00F434E0">
            <w:pPr>
              <w:tabs>
                <w:tab w:val="left" w:pos="4125"/>
              </w:tabs>
              <w:jc w:val="center"/>
              <w:rPr>
                <w:rFonts w:ascii="Arial" w:hAnsi="Arial" w:cs="Arial"/>
                <w:sz w:val="20"/>
                <w:szCs w:val="20"/>
              </w:rPr>
            </w:pPr>
            <w:r>
              <w:rPr>
                <w:rFonts w:ascii="Arial" w:hAnsi="Arial" w:cs="Arial"/>
                <w:sz w:val="20"/>
                <w:szCs w:val="20"/>
              </w:rPr>
              <w:t>Final</w:t>
            </w:r>
          </w:p>
        </w:tc>
        <w:tc>
          <w:tcPr>
            <w:tcW w:w="1517" w:type="dxa"/>
            <w:vAlign w:val="center"/>
          </w:tcPr>
          <w:p w14:paraId="67042C96" w14:textId="2F3D1100" w:rsidR="00F434E0" w:rsidRPr="00F434E0" w:rsidRDefault="00396B3F" w:rsidP="00F434E0">
            <w:pPr>
              <w:tabs>
                <w:tab w:val="left" w:pos="4125"/>
              </w:tabs>
              <w:jc w:val="center"/>
              <w:rPr>
                <w:rFonts w:ascii="Arial" w:hAnsi="Arial" w:cs="Arial"/>
                <w:sz w:val="20"/>
                <w:szCs w:val="20"/>
              </w:rPr>
            </w:pPr>
            <w:r>
              <w:rPr>
                <w:rFonts w:ascii="Arial" w:hAnsi="Arial" w:cs="Arial"/>
                <w:sz w:val="20"/>
                <w:szCs w:val="20"/>
              </w:rPr>
              <w:t>March 2024</w:t>
            </w:r>
          </w:p>
        </w:tc>
        <w:tc>
          <w:tcPr>
            <w:tcW w:w="1552" w:type="dxa"/>
            <w:vAlign w:val="center"/>
          </w:tcPr>
          <w:p w14:paraId="262F5FD8"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027CA3C9" w14:textId="1400D9E6" w:rsidR="00F434E0" w:rsidRPr="00F434E0" w:rsidRDefault="00396B3F" w:rsidP="00F434E0">
            <w:pPr>
              <w:tabs>
                <w:tab w:val="left" w:pos="4125"/>
              </w:tabs>
              <w:jc w:val="center"/>
              <w:rPr>
                <w:rFonts w:ascii="Arial" w:hAnsi="Arial" w:cs="Arial"/>
                <w:sz w:val="20"/>
                <w:szCs w:val="20"/>
              </w:rPr>
            </w:pPr>
            <w:r>
              <w:rPr>
                <w:rFonts w:ascii="Arial" w:hAnsi="Arial" w:cs="Arial"/>
                <w:sz w:val="20"/>
                <w:szCs w:val="20"/>
              </w:rPr>
              <w:t>Final</w:t>
            </w:r>
          </w:p>
        </w:tc>
        <w:tc>
          <w:tcPr>
            <w:tcW w:w="1517" w:type="dxa"/>
            <w:vAlign w:val="center"/>
          </w:tcPr>
          <w:p w14:paraId="03EBED4C" w14:textId="77777777" w:rsidR="00F434E0" w:rsidRDefault="00396B3F" w:rsidP="00F434E0">
            <w:pPr>
              <w:tabs>
                <w:tab w:val="left" w:pos="4125"/>
              </w:tabs>
              <w:jc w:val="center"/>
              <w:rPr>
                <w:rFonts w:ascii="Arial" w:hAnsi="Arial" w:cs="Arial"/>
                <w:sz w:val="20"/>
                <w:szCs w:val="20"/>
              </w:rPr>
            </w:pPr>
            <w:r>
              <w:rPr>
                <w:rFonts w:ascii="Arial" w:hAnsi="Arial" w:cs="Arial"/>
                <w:sz w:val="20"/>
                <w:szCs w:val="20"/>
              </w:rPr>
              <w:t>18/03/2024</w:t>
            </w:r>
          </w:p>
          <w:p w14:paraId="02A3FFFC" w14:textId="29336F6C" w:rsidR="00396B3F" w:rsidRPr="00F434E0" w:rsidRDefault="00396B3F" w:rsidP="00F434E0">
            <w:pPr>
              <w:tabs>
                <w:tab w:val="left" w:pos="4125"/>
              </w:tabs>
              <w:jc w:val="center"/>
              <w:rPr>
                <w:rFonts w:ascii="Arial" w:hAnsi="Arial" w:cs="Arial"/>
                <w:sz w:val="20"/>
                <w:szCs w:val="20"/>
              </w:rPr>
            </w:pPr>
            <w:r>
              <w:rPr>
                <w:rFonts w:ascii="Arial" w:hAnsi="Arial" w:cs="Arial"/>
                <w:sz w:val="20"/>
                <w:szCs w:val="20"/>
              </w:rPr>
              <w:t>ICMD</w:t>
            </w:r>
          </w:p>
        </w:tc>
      </w:tr>
      <w:tr w:rsidR="00F434E0" w14:paraId="4B3238E8" w14:textId="77777777" w:rsidTr="00F434E0">
        <w:trPr>
          <w:trHeight w:val="463"/>
        </w:trPr>
        <w:tc>
          <w:tcPr>
            <w:tcW w:w="1517" w:type="dxa"/>
            <w:vAlign w:val="center"/>
          </w:tcPr>
          <w:p w14:paraId="59ABB08A"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2AA09366" w14:textId="77777777" w:rsidR="00F434E0" w:rsidRPr="00F434E0" w:rsidRDefault="00F434E0" w:rsidP="00F434E0">
            <w:pPr>
              <w:tabs>
                <w:tab w:val="left" w:pos="4125"/>
              </w:tabs>
              <w:jc w:val="center"/>
              <w:rPr>
                <w:rFonts w:ascii="Arial" w:hAnsi="Arial" w:cs="Arial"/>
                <w:sz w:val="20"/>
                <w:szCs w:val="20"/>
              </w:rPr>
            </w:pPr>
          </w:p>
        </w:tc>
        <w:tc>
          <w:tcPr>
            <w:tcW w:w="1552" w:type="dxa"/>
            <w:vAlign w:val="center"/>
          </w:tcPr>
          <w:p w14:paraId="6D436DCB"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4ED7F85C"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4E5FC5C0" w14:textId="77777777" w:rsidR="00F434E0" w:rsidRPr="00F434E0" w:rsidRDefault="00F434E0" w:rsidP="00F434E0">
            <w:pPr>
              <w:tabs>
                <w:tab w:val="left" w:pos="4125"/>
              </w:tabs>
              <w:jc w:val="center"/>
              <w:rPr>
                <w:rFonts w:ascii="Arial" w:hAnsi="Arial" w:cs="Arial"/>
                <w:sz w:val="20"/>
                <w:szCs w:val="20"/>
              </w:rPr>
            </w:pPr>
          </w:p>
        </w:tc>
      </w:tr>
    </w:tbl>
    <w:p w14:paraId="3720ECEA" w14:textId="77777777" w:rsidR="00F434E0" w:rsidRPr="00F434E0" w:rsidRDefault="00F434E0" w:rsidP="00F434E0">
      <w:pPr>
        <w:tabs>
          <w:tab w:val="left" w:pos="4125"/>
        </w:tabs>
        <w:jc w:val="center"/>
        <w:rPr>
          <w:rFonts w:ascii="Arial" w:hAnsi="Arial" w:cs="Arial"/>
          <w:b/>
          <w:bCs/>
          <w:sz w:val="24"/>
          <w:szCs w:val="24"/>
        </w:rPr>
      </w:pPr>
    </w:p>
    <w:p w14:paraId="35D1451D" w14:textId="77777777" w:rsidR="00F434E0" w:rsidRDefault="00F434E0" w:rsidP="00F434E0">
      <w:pPr>
        <w:tabs>
          <w:tab w:val="left" w:pos="4125"/>
        </w:tabs>
        <w:rPr>
          <w:rFonts w:ascii="Arial" w:hAnsi="Arial" w:cs="Arial"/>
          <w:sz w:val="24"/>
          <w:szCs w:val="24"/>
        </w:rPr>
      </w:pPr>
    </w:p>
    <w:p w14:paraId="1D58E59C" w14:textId="77777777" w:rsidR="00F434E0" w:rsidRPr="00F434E0" w:rsidRDefault="00F434E0" w:rsidP="00F434E0">
      <w:pPr>
        <w:rPr>
          <w:rFonts w:ascii="Arial" w:hAnsi="Arial" w:cs="Arial"/>
          <w:sz w:val="24"/>
          <w:szCs w:val="24"/>
        </w:rPr>
      </w:pPr>
    </w:p>
    <w:p w14:paraId="5A3BE661" w14:textId="77777777" w:rsidR="00F434E0" w:rsidRPr="00F434E0" w:rsidRDefault="00F434E0" w:rsidP="00F434E0">
      <w:pPr>
        <w:rPr>
          <w:rFonts w:ascii="Arial" w:hAnsi="Arial" w:cs="Arial"/>
          <w:sz w:val="24"/>
          <w:szCs w:val="24"/>
        </w:rPr>
      </w:pPr>
    </w:p>
    <w:p w14:paraId="32284B51" w14:textId="77777777" w:rsidR="00F434E0" w:rsidRPr="00F434E0" w:rsidRDefault="00F434E0" w:rsidP="00F434E0">
      <w:pPr>
        <w:rPr>
          <w:rFonts w:ascii="Arial" w:hAnsi="Arial" w:cs="Arial"/>
          <w:sz w:val="24"/>
          <w:szCs w:val="24"/>
        </w:rPr>
      </w:pPr>
    </w:p>
    <w:p w14:paraId="3BF7AE31" w14:textId="77777777" w:rsidR="00F434E0" w:rsidRPr="00F434E0" w:rsidRDefault="00F434E0" w:rsidP="00F434E0">
      <w:pPr>
        <w:rPr>
          <w:rFonts w:ascii="Arial" w:hAnsi="Arial" w:cs="Arial"/>
          <w:sz w:val="24"/>
          <w:szCs w:val="24"/>
        </w:rPr>
      </w:pPr>
    </w:p>
    <w:p w14:paraId="3050770D" w14:textId="77777777" w:rsidR="00F434E0" w:rsidRPr="00F434E0" w:rsidRDefault="00F434E0" w:rsidP="00F434E0">
      <w:pPr>
        <w:rPr>
          <w:rFonts w:ascii="Arial" w:hAnsi="Arial" w:cs="Arial"/>
          <w:sz w:val="24"/>
          <w:szCs w:val="24"/>
        </w:rPr>
      </w:pPr>
    </w:p>
    <w:p w14:paraId="3D4F64F9" w14:textId="77777777" w:rsidR="00F434E0" w:rsidRPr="00F434E0" w:rsidRDefault="00F434E0" w:rsidP="00F434E0">
      <w:pPr>
        <w:rPr>
          <w:rFonts w:ascii="Arial" w:hAnsi="Arial" w:cs="Arial"/>
          <w:sz w:val="24"/>
          <w:szCs w:val="24"/>
        </w:rPr>
      </w:pPr>
    </w:p>
    <w:p w14:paraId="4BB3EFE6" w14:textId="77777777" w:rsidR="00F434E0" w:rsidRPr="00F434E0" w:rsidRDefault="00F434E0" w:rsidP="00F434E0">
      <w:pPr>
        <w:rPr>
          <w:rFonts w:ascii="Arial" w:hAnsi="Arial" w:cs="Arial"/>
          <w:sz w:val="24"/>
          <w:szCs w:val="24"/>
        </w:rPr>
      </w:pPr>
    </w:p>
    <w:p w14:paraId="1D1FA4EE" w14:textId="77777777" w:rsidR="00F434E0" w:rsidRPr="00F434E0" w:rsidRDefault="00F434E0" w:rsidP="00F434E0">
      <w:pPr>
        <w:rPr>
          <w:rFonts w:ascii="Arial" w:hAnsi="Arial" w:cs="Arial"/>
          <w:sz w:val="24"/>
          <w:szCs w:val="24"/>
        </w:rPr>
      </w:pPr>
    </w:p>
    <w:p w14:paraId="42ACB122" w14:textId="77777777" w:rsidR="00F434E0" w:rsidRDefault="00F434E0" w:rsidP="00F434E0">
      <w:pPr>
        <w:rPr>
          <w:rFonts w:ascii="Arial" w:hAnsi="Arial" w:cs="Arial"/>
          <w:sz w:val="24"/>
          <w:szCs w:val="24"/>
        </w:rPr>
      </w:pPr>
    </w:p>
    <w:p w14:paraId="60631B62" w14:textId="77777777" w:rsidR="00520878" w:rsidRDefault="00520878" w:rsidP="00F434E0">
      <w:pPr>
        <w:rPr>
          <w:rFonts w:ascii="Arial" w:hAnsi="Arial" w:cs="Arial"/>
          <w:sz w:val="24"/>
          <w:szCs w:val="24"/>
        </w:rPr>
      </w:pPr>
    </w:p>
    <w:p w14:paraId="098CA935" w14:textId="77777777" w:rsidR="00520878" w:rsidRDefault="00520878" w:rsidP="00F434E0">
      <w:pPr>
        <w:rPr>
          <w:rFonts w:ascii="Arial" w:hAnsi="Arial" w:cs="Arial"/>
          <w:sz w:val="24"/>
          <w:szCs w:val="24"/>
        </w:rPr>
      </w:pPr>
    </w:p>
    <w:p w14:paraId="71C5D623" w14:textId="77777777" w:rsidR="00520878" w:rsidRPr="00F434E0" w:rsidRDefault="00520878" w:rsidP="00F434E0">
      <w:pPr>
        <w:rPr>
          <w:rFonts w:ascii="Arial" w:hAnsi="Arial" w:cs="Arial"/>
          <w:sz w:val="24"/>
          <w:szCs w:val="24"/>
        </w:rPr>
      </w:pPr>
    </w:p>
    <w:p w14:paraId="7ECC6EDF" w14:textId="77777777" w:rsidR="00F434E0" w:rsidRPr="00F434E0" w:rsidRDefault="00F434E0" w:rsidP="00F434E0">
      <w:pPr>
        <w:rPr>
          <w:rFonts w:ascii="Arial" w:hAnsi="Arial" w:cs="Arial"/>
          <w:sz w:val="24"/>
          <w:szCs w:val="24"/>
        </w:rPr>
      </w:pPr>
    </w:p>
    <w:p w14:paraId="6A0869B2" w14:textId="77777777" w:rsidR="00F434E0" w:rsidRPr="00F434E0" w:rsidRDefault="00F434E0" w:rsidP="00F434E0">
      <w:pPr>
        <w:rPr>
          <w:rFonts w:ascii="Arial" w:hAnsi="Arial" w:cs="Arial"/>
          <w:sz w:val="24"/>
          <w:szCs w:val="24"/>
        </w:rPr>
      </w:pPr>
    </w:p>
    <w:p w14:paraId="24D55626" w14:textId="77777777" w:rsidR="00F434E0" w:rsidRPr="00F434E0" w:rsidRDefault="00F434E0" w:rsidP="00F434E0">
      <w:pPr>
        <w:rPr>
          <w:rFonts w:ascii="Arial" w:hAnsi="Arial" w:cs="Arial"/>
          <w:sz w:val="24"/>
          <w:szCs w:val="24"/>
        </w:rPr>
      </w:pPr>
    </w:p>
    <w:p w14:paraId="42F0A540" w14:textId="77777777" w:rsidR="00F434E0" w:rsidRPr="00F434E0" w:rsidRDefault="00F434E0" w:rsidP="00F434E0">
      <w:pPr>
        <w:rPr>
          <w:rFonts w:ascii="Arial" w:hAnsi="Arial" w:cs="Arial"/>
          <w:sz w:val="24"/>
          <w:szCs w:val="24"/>
        </w:rPr>
      </w:pPr>
    </w:p>
    <w:p w14:paraId="1913914D" w14:textId="77777777" w:rsidR="00F434E0" w:rsidRPr="00F434E0" w:rsidRDefault="00F434E0" w:rsidP="00F434E0">
      <w:pPr>
        <w:rPr>
          <w:rFonts w:ascii="Arial" w:hAnsi="Arial" w:cs="Arial"/>
          <w:sz w:val="24"/>
          <w:szCs w:val="24"/>
        </w:rPr>
      </w:pPr>
    </w:p>
    <w:p w14:paraId="5D5B6FD6" w14:textId="77777777" w:rsidR="00F434E0" w:rsidRPr="00F434E0" w:rsidRDefault="00F434E0" w:rsidP="00F434E0">
      <w:pPr>
        <w:rPr>
          <w:rFonts w:ascii="Arial" w:hAnsi="Arial" w:cs="Arial"/>
          <w:sz w:val="24"/>
          <w:szCs w:val="24"/>
        </w:rPr>
      </w:pPr>
    </w:p>
    <w:p w14:paraId="45DCB73D" w14:textId="77777777" w:rsidR="00F434E0" w:rsidRPr="00F434E0" w:rsidRDefault="00F434E0" w:rsidP="00F434E0">
      <w:pPr>
        <w:rPr>
          <w:rFonts w:ascii="Arial" w:hAnsi="Arial" w:cs="Arial"/>
          <w:sz w:val="24"/>
          <w:szCs w:val="24"/>
        </w:rPr>
      </w:pPr>
    </w:p>
    <w:p w14:paraId="0B9DACC1" w14:textId="77777777" w:rsidR="00F434E0" w:rsidRPr="00F434E0" w:rsidRDefault="00F434E0" w:rsidP="00F434E0">
      <w:pPr>
        <w:rPr>
          <w:rFonts w:ascii="Arial" w:hAnsi="Arial" w:cs="Arial"/>
          <w:sz w:val="24"/>
          <w:szCs w:val="24"/>
        </w:rPr>
      </w:pPr>
    </w:p>
    <w:p w14:paraId="01DADF13" w14:textId="77777777" w:rsidR="00F434E0" w:rsidRPr="00F434E0" w:rsidRDefault="00F434E0" w:rsidP="00F434E0">
      <w:pPr>
        <w:rPr>
          <w:rFonts w:ascii="Arial" w:hAnsi="Arial" w:cs="Arial"/>
          <w:sz w:val="24"/>
          <w:szCs w:val="24"/>
        </w:rPr>
      </w:pPr>
    </w:p>
    <w:p w14:paraId="2AB7B168" w14:textId="77777777" w:rsidR="00F434E0" w:rsidRPr="00F434E0" w:rsidRDefault="00F434E0" w:rsidP="00F434E0">
      <w:pPr>
        <w:rPr>
          <w:rFonts w:ascii="Arial" w:hAnsi="Arial" w:cs="Arial"/>
          <w:sz w:val="24"/>
          <w:szCs w:val="24"/>
        </w:rPr>
      </w:pPr>
    </w:p>
    <w:p w14:paraId="60E8D351" w14:textId="77777777" w:rsidR="00F434E0" w:rsidRPr="00F434E0" w:rsidRDefault="00F434E0" w:rsidP="00F434E0">
      <w:pPr>
        <w:rPr>
          <w:rFonts w:ascii="Arial" w:hAnsi="Arial" w:cs="Arial"/>
          <w:sz w:val="24"/>
          <w:szCs w:val="24"/>
        </w:rPr>
      </w:pPr>
    </w:p>
    <w:p w14:paraId="21C360A5" w14:textId="5FD0A342" w:rsidR="00F434E0" w:rsidRDefault="00F434E0" w:rsidP="00F434E0">
      <w:pPr>
        <w:tabs>
          <w:tab w:val="left" w:pos="1965"/>
        </w:tabs>
        <w:rPr>
          <w:rFonts w:ascii="Arial" w:hAnsi="Arial" w:cs="Arial"/>
          <w:sz w:val="24"/>
          <w:szCs w:val="24"/>
        </w:rPr>
      </w:pPr>
    </w:p>
    <w:p w14:paraId="1115F10E" w14:textId="77777777" w:rsidR="00252397" w:rsidRDefault="00252397" w:rsidP="00F434E0">
      <w:pPr>
        <w:tabs>
          <w:tab w:val="left" w:pos="1965"/>
        </w:tabs>
        <w:rPr>
          <w:rFonts w:ascii="Arial" w:hAnsi="Arial" w:cs="Arial"/>
          <w:sz w:val="24"/>
          <w:szCs w:val="24"/>
        </w:rPr>
      </w:pPr>
    </w:p>
    <w:p w14:paraId="630ADA9A" w14:textId="77777777" w:rsidR="00F434E0" w:rsidRDefault="00F434E0" w:rsidP="00F434E0">
      <w:pPr>
        <w:tabs>
          <w:tab w:val="left" w:pos="1965"/>
        </w:tabs>
        <w:rPr>
          <w:rFonts w:ascii="Arial" w:hAnsi="Arial" w:cs="Arial"/>
          <w:sz w:val="24"/>
          <w:szCs w:val="24"/>
        </w:rPr>
      </w:pPr>
    </w:p>
    <w:p w14:paraId="3C9D487F" w14:textId="77777777" w:rsidR="00F434E0" w:rsidRDefault="00F434E0" w:rsidP="00F434E0">
      <w:pPr>
        <w:tabs>
          <w:tab w:val="left" w:pos="1965"/>
        </w:tabs>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7905"/>
        <w:gridCol w:w="1894"/>
      </w:tblGrid>
      <w:tr w:rsidR="00F434E0" w14:paraId="774A9FCA" w14:textId="77777777" w:rsidTr="00BC03C4">
        <w:trPr>
          <w:trHeight w:val="514"/>
        </w:trPr>
        <w:tc>
          <w:tcPr>
            <w:tcW w:w="8742" w:type="dxa"/>
            <w:gridSpan w:val="2"/>
          </w:tcPr>
          <w:p w14:paraId="0D72785B" w14:textId="1F7D5397" w:rsidR="00F434E0" w:rsidRPr="00BC03C4" w:rsidRDefault="00F434E0" w:rsidP="00F434E0">
            <w:pPr>
              <w:tabs>
                <w:tab w:val="left" w:pos="1965"/>
              </w:tabs>
              <w:rPr>
                <w:rFonts w:ascii="Arial" w:hAnsi="Arial" w:cs="Arial"/>
                <w:b/>
                <w:bCs/>
              </w:rPr>
            </w:pPr>
            <w:r w:rsidRPr="00BC03C4">
              <w:rPr>
                <w:rFonts w:ascii="Arial" w:hAnsi="Arial" w:cs="Arial"/>
                <w:b/>
                <w:bCs/>
              </w:rPr>
              <w:lastRenderedPageBreak/>
              <w:t>Contents</w:t>
            </w:r>
          </w:p>
        </w:tc>
        <w:tc>
          <w:tcPr>
            <w:tcW w:w="1924" w:type="dxa"/>
          </w:tcPr>
          <w:p w14:paraId="7B7FF799" w14:textId="7259A924" w:rsidR="00F434E0" w:rsidRPr="00BC03C4" w:rsidRDefault="00F434E0" w:rsidP="00D0399D">
            <w:pPr>
              <w:tabs>
                <w:tab w:val="left" w:pos="1965"/>
              </w:tabs>
              <w:jc w:val="right"/>
              <w:rPr>
                <w:rFonts w:ascii="Arial" w:hAnsi="Arial" w:cs="Arial"/>
                <w:b/>
                <w:bCs/>
              </w:rPr>
            </w:pPr>
            <w:r w:rsidRPr="00BC03C4">
              <w:rPr>
                <w:rFonts w:ascii="Arial" w:hAnsi="Arial" w:cs="Arial"/>
                <w:b/>
                <w:bCs/>
              </w:rPr>
              <w:t>Page</w:t>
            </w:r>
          </w:p>
        </w:tc>
      </w:tr>
      <w:tr w:rsidR="00F434E0" w14:paraId="39FEBF9C" w14:textId="77777777" w:rsidTr="00BC03C4">
        <w:trPr>
          <w:trHeight w:val="483"/>
        </w:trPr>
        <w:tc>
          <w:tcPr>
            <w:tcW w:w="674" w:type="dxa"/>
            <w:shd w:val="clear" w:color="auto" w:fill="auto"/>
          </w:tcPr>
          <w:p w14:paraId="04E1084A" w14:textId="76DDB20D" w:rsidR="00F434E0" w:rsidRPr="00BC03C4" w:rsidRDefault="00F434E0" w:rsidP="00F434E0">
            <w:pPr>
              <w:tabs>
                <w:tab w:val="left" w:pos="1965"/>
              </w:tabs>
              <w:rPr>
                <w:rFonts w:ascii="Arial" w:hAnsi="Arial" w:cs="Arial"/>
                <w:b/>
                <w:bCs/>
              </w:rPr>
            </w:pPr>
            <w:r w:rsidRPr="00BC03C4">
              <w:rPr>
                <w:rFonts w:ascii="Arial" w:hAnsi="Arial" w:cs="Arial"/>
                <w:b/>
                <w:bCs/>
              </w:rPr>
              <w:t>1.</w:t>
            </w:r>
          </w:p>
        </w:tc>
        <w:tc>
          <w:tcPr>
            <w:tcW w:w="8068" w:type="dxa"/>
            <w:shd w:val="clear" w:color="auto" w:fill="auto"/>
          </w:tcPr>
          <w:p w14:paraId="4807B4C2" w14:textId="27C06B02" w:rsidR="00F434E0" w:rsidRPr="00BC03C4" w:rsidRDefault="00F434E0" w:rsidP="00F434E0">
            <w:pPr>
              <w:tabs>
                <w:tab w:val="left" w:pos="1965"/>
              </w:tabs>
              <w:rPr>
                <w:rFonts w:ascii="Arial" w:hAnsi="Arial" w:cs="Arial"/>
                <w:b/>
                <w:bCs/>
              </w:rPr>
            </w:pPr>
            <w:r w:rsidRPr="00BC03C4">
              <w:rPr>
                <w:rFonts w:ascii="Arial" w:hAnsi="Arial" w:cs="Arial"/>
                <w:b/>
                <w:bCs/>
              </w:rPr>
              <w:t>Objectives</w:t>
            </w:r>
          </w:p>
        </w:tc>
        <w:tc>
          <w:tcPr>
            <w:tcW w:w="1924" w:type="dxa"/>
            <w:shd w:val="clear" w:color="auto" w:fill="auto"/>
          </w:tcPr>
          <w:p w14:paraId="6AAE40F4" w14:textId="356AEE28" w:rsidR="00F434E0" w:rsidRPr="00BC03C4" w:rsidRDefault="00350554" w:rsidP="00415265">
            <w:pPr>
              <w:tabs>
                <w:tab w:val="left" w:pos="1965"/>
              </w:tabs>
              <w:jc w:val="right"/>
              <w:rPr>
                <w:rFonts w:ascii="Arial" w:hAnsi="Arial" w:cs="Arial"/>
                <w:b/>
                <w:bCs/>
              </w:rPr>
            </w:pPr>
            <w:r w:rsidRPr="00BC03C4">
              <w:rPr>
                <w:rFonts w:ascii="Arial" w:hAnsi="Arial" w:cs="Arial"/>
                <w:b/>
                <w:bCs/>
              </w:rPr>
              <w:t>4</w:t>
            </w:r>
            <w:r w:rsidR="00415265" w:rsidRPr="00BC03C4">
              <w:rPr>
                <w:rFonts w:ascii="Arial" w:hAnsi="Arial" w:cs="Arial"/>
                <w:b/>
                <w:bCs/>
              </w:rPr>
              <w:t xml:space="preserve"> and 5</w:t>
            </w:r>
          </w:p>
        </w:tc>
      </w:tr>
      <w:tr w:rsidR="00F434E0" w14:paraId="757D5399" w14:textId="77777777" w:rsidTr="00BC03C4">
        <w:trPr>
          <w:trHeight w:val="514"/>
        </w:trPr>
        <w:tc>
          <w:tcPr>
            <w:tcW w:w="674" w:type="dxa"/>
            <w:shd w:val="clear" w:color="auto" w:fill="auto"/>
          </w:tcPr>
          <w:p w14:paraId="6BAFDA76" w14:textId="75F6A290" w:rsidR="00F434E0" w:rsidRPr="00BC03C4" w:rsidRDefault="00F434E0" w:rsidP="00F434E0">
            <w:pPr>
              <w:tabs>
                <w:tab w:val="left" w:pos="1965"/>
              </w:tabs>
              <w:rPr>
                <w:rFonts w:ascii="Arial" w:hAnsi="Arial" w:cs="Arial"/>
                <w:b/>
                <w:bCs/>
              </w:rPr>
            </w:pPr>
            <w:r w:rsidRPr="00BC03C4">
              <w:rPr>
                <w:rFonts w:ascii="Arial" w:hAnsi="Arial" w:cs="Arial"/>
                <w:b/>
                <w:bCs/>
              </w:rPr>
              <w:t>2.</w:t>
            </w:r>
          </w:p>
        </w:tc>
        <w:tc>
          <w:tcPr>
            <w:tcW w:w="8068" w:type="dxa"/>
            <w:shd w:val="clear" w:color="auto" w:fill="auto"/>
          </w:tcPr>
          <w:p w14:paraId="545CD634" w14:textId="3765D3FB" w:rsidR="00F434E0" w:rsidRPr="00BC03C4" w:rsidRDefault="00F434E0" w:rsidP="00F434E0">
            <w:pPr>
              <w:tabs>
                <w:tab w:val="left" w:pos="1965"/>
              </w:tabs>
              <w:rPr>
                <w:rFonts w:ascii="Arial" w:hAnsi="Arial" w:cs="Arial"/>
                <w:b/>
                <w:bCs/>
              </w:rPr>
            </w:pPr>
            <w:r w:rsidRPr="00BC03C4">
              <w:rPr>
                <w:rFonts w:ascii="Arial" w:hAnsi="Arial" w:cs="Arial"/>
                <w:b/>
                <w:bCs/>
              </w:rPr>
              <w:t>Purpose</w:t>
            </w:r>
            <w:r w:rsidR="006E4C0E" w:rsidRPr="00BC03C4">
              <w:rPr>
                <w:rFonts w:ascii="Arial" w:hAnsi="Arial" w:cs="Arial"/>
                <w:b/>
                <w:bCs/>
              </w:rPr>
              <w:t xml:space="preserve"> </w:t>
            </w:r>
          </w:p>
        </w:tc>
        <w:tc>
          <w:tcPr>
            <w:tcW w:w="1924" w:type="dxa"/>
            <w:shd w:val="clear" w:color="auto" w:fill="auto"/>
          </w:tcPr>
          <w:p w14:paraId="0892741E" w14:textId="1AC7FEBD" w:rsidR="00F434E0" w:rsidRPr="00BC03C4" w:rsidRDefault="00415265" w:rsidP="00415265">
            <w:pPr>
              <w:tabs>
                <w:tab w:val="left" w:pos="1965"/>
              </w:tabs>
              <w:jc w:val="right"/>
              <w:rPr>
                <w:rFonts w:ascii="Arial" w:hAnsi="Arial" w:cs="Arial"/>
                <w:b/>
                <w:bCs/>
              </w:rPr>
            </w:pPr>
            <w:r w:rsidRPr="00BC03C4">
              <w:rPr>
                <w:rFonts w:ascii="Arial" w:hAnsi="Arial" w:cs="Arial"/>
                <w:b/>
                <w:bCs/>
              </w:rPr>
              <w:t>5</w:t>
            </w:r>
          </w:p>
        </w:tc>
      </w:tr>
      <w:tr w:rsidR="00F434E0" w14:paraId="5EF8F2CA" w14:textId="77777777" w:rsidTr="00BC03C4">
        <w:trPr>
          <w:trHeight w:val="514"/>
        </w:trPr>
        <w:tc>
          <w:tcPr>
            <w:tcW w:w="674" w:type="dxa"/>
            <w:shd w:val="clear" w:color="auto" w:fill="auto"/>
          </w:tcPr>
          <w:p w14:paraId="09FDC0DB" w14:textId="3DAAC0A4" w:rsidR="00F434E0" w:rsidRPr="00BC03C4" w:rsidRDefault="006E4C0E" w:rsidP="00F434E0">
            <w:pPr>
              <w:tabs>
                <w:tab w:val="left" w:pos="1965"/>
              </w:tabs>
              <w:rPr>
                <w:rFonts w:ascii="Arial" w:hAnsi="Arial" w:cs="Arial"/>
                <w:b/>
                <w:bCs/>
              </w:rPr>
            </w:pPr>
            <w:r w:rsidRPr="00BC03C4">
              <w:rPr>
                <w:rFonts w:ascii="Arial" w:hAnsi="Arial" w:cs="Arial"/>
                <w:b/>
                <w:bCs/>
              </w:rPr>
              <w:t>3</w:t>
            </w:r>
            <w:r w:rsidR="00F434E0" w:rsidRPr="00BC03C4">
              <w:rPr>
                <w:rFonts w:ascii="Arial" w:hAnsi="Arial" w:cs="Arial"/>
                <w:b/>
                <w:bCs/>
              </w:rPr>
              <w:t>.</w:t>
            </w:r>
          </w:p>
        </w:tc>
        <w:tc>
          <w:tcPr>
            <w:tcW w:w="8068" w:type="dxa"/>
            <w:shd w:val="clear" w:color="auto" w:fill="auto"/>
          </w:tcPr>
          <w:p w14:paraId="66DC355F" w14:textId="4C8E461D" w:rsidR="00F434E0" w:rsidRPr="00BC03C4" w:rsidRDefault="00F434E0" w:rsidP="00F434E0">
            <w:pPr>
              <w:tabs>
                <w:tab w:val="left" w:pos="1965"/>
              </w:tabs>
              <w:rPr>
                <w:rFonts w:ascii="Arial" w:hAnsi="Arial" w:cs="Arial"/>
                <w:b/>
                <w:bCs/>
              </w:rPr>
            </w:pPr>
            <w:r w:rsidRPr="00BC03C4">
              <w:rPr>
                <w:rFonts w:ascii="Arial" w:hAnsi="Arial" w:cs="Arial"/>
                <w:b/>
                <w:bCs/>
              </w:rPr>
              <w:t>Responsibility</w:t>
            </w:r>
          </w:p>
        </w:tc>
        <w:tc>
          <w:tcPr>
            <w:tcW w:w="1924" w:type="dxa"/>
            <w:shd w:val="clear" w:color="auto" w:fill="auto"/>
          </w:tcPr>
          <w:p w14:paraId="28F876F9" w14:textId="619181EB" w:rsidR="00F434E0" w:rsidRPr="00BC03C4" w:rsidRDefault="00415265" w:rsidP="00415265">
            <w:pPr>
              <w:tabs>
                <w:tab w:val="left" w:pos="1965"/>
              </w:tabs>
              <w:jc w:val="right"/>
              <w:rPr>
                <w:rFonts w:ascii="Arial" w:hAnsi="Arial" w:cs="Arial"/>
                <w:b/>
                <w:bCs/>
              </w:rPr>
            </w:pPr>
            <w:r w:rsidRPr="00BC03C4">
              <w:rPr>
                <w:rFonts w:ascii="Arial" w:hAnsi="Arial" w:cs="Arial"/>
                <w:b/>
                <w:bCs/>
              </w:rPr>
              <w:t>5 and 6</w:t>
            </w:r>
          </w:p>
        </w:tc>
      </w:tr>
      <w:tr w:rsidR="00F434E0" w14:paraId="295A72DC" w14:textId="77777777" w:rsidTr="00BC03C4">
        <w:trPr>
          <w:trHeight w:val="483"/>
        </w:trPr>
        <w:tc>
          <w:tcPr>
            <w:tcW w:w="674" w:type="dxa"/>
            <w:shd w:val="clear" w:color="auto" w:fill="auto"/>
          </w:tcPr>
          <w:p w14:paraId="3D2935D8" w14:textId="3D7578EB" w:rsidR="00F434E0" w:rsidRPr="00BC03C4" w:rsidRDefault="006E4C0E" w:rsidP="00F434E0">
            <w:pPr>
              <w:tabs>
                <w:tab w:val="left" w:pos="1965"/>
              </w:tabs>
              <w:rPr>
                <w:rFonts w:ascii="Arial" w:hAnsi="Arial" w:cs="Arial"/>
                <w:b/>
                <w:bCs/>
              </w:rPr>
            </w:pPr>
            <w:r w:rsidRPr="00BC03C4">
              <w:rPr>
                <w:rFonts w:ascii="Arial" w:hAnsi="Arial" w:cs="Arial"/>
                <w:b/>
                <w:bCs/>
              </w:rPr>
              <w:t>4</w:t>
            </w:r>
            <w:r w:rsidR="00F434E0" w:rsidRPr="00BC03C4">
              <w:rPr>
                <w:rFonts w:ascii="Arial" w:hAnsi="Arial" w:cs="Arial"/>
                <w:b/>
                <w:bCs/>
              </w:rPr>
              <w:t>.</w:t>
            </w:r>
          </w:p>
        </w:tc>
        <w:tc>
          <w:tcPr>
            <w:tcW w:w="8068" w:type="dxa"/>
            <w:shd w:val="clear" w:color="auto" w:fill="auto"/>
          </w:tcPr>
          <w:p w14:paraId="71037136" w14:textId="6AFCFC46" w:rsidR="00F434E0" w:rsidRPr="00BC03C4" w:rsidRDefault="00F434E0" w:rsidP="00F434E0">
            <w:pPr>
              <w:tabs>
                <w:tab w:val="left" w:pos="1965"/>
              </w:tabs>
              <w:rPr>
                <w:rFonts w:ascii="Arial" w:hAnsi="Arial" w:cs="Arial"/>
                <w:b/>
                <w:bCs/>
              </w:rPr>
            </w:pPr>
            <w:r w:rsidRPr="00BC03C4">
              <w:rPr>
                <w:rFonts w:ascii="Arial" w:hAnsi="Arial" w:cs="Arial"/>
                <w:b/>
                <w:bCs/>
              </w:rPr>
              <w:t>Polic</w:t>
            </w:r>
            <w:r w:rsidR="00064F6F" w:rsidRPr="00BC03C4">
              <w:rPr>
                <w:rFonts w:ascii="Arial" w:hAnsi="Arial" w:cs="Arial"/>
                <w:b/>
                <w:bCs/>
              </w:rPr>
              <w:t>y</w:t>
            </w:r>
            <w:r w:rsidRPr="00BC03C4">
              <w:rPr>
                <w:rFonts w:ascii="Arial" w:hAnsi="Arial" w:cs="Arial"/>
                <w:b/>
                <w:bCs/>
              </w:rPr>
              <w:t xml:space="preserve"> Statement</w:t>
            </w:r>
          </w:p>
        </w:tc>
        <w:tc>
          <w:tcPr>
            <w:tcW w:w="1924" w:type="dxa"/>
            <w:shd w:val="clear" w:color="auto" w:fill="auto"/>
          </w:tcPr>
          <w:p w14:paraId="2C1B2B57" w14:textId="31107D23" w:rsidR="00F434E0" w:rsidRPr="00BC03C4" w:rsidRDefault="00BC03C4" w:rsidP="00415265">
            <w:pPr>
              <w:tabs>
                <w:tab w:val="left" w:pos="1965"/>
              </w:tabs>
              <w:jc w:val="right"/>
              <w:rPr>
                <w:rFonts w:ascii="Arial" w:hAnsi="Arial" w:cs="Arial"/>
                <w:b/>
                <w:bCs/>
              </w:rPr>
            </w:pPr>
            <w:r w:rsidRPr="00BC03C4">
              <w:rPr>
                <w:rFonts w:ascii="Arial" w:hAnsi="Arial" w:cs="Arial"/>
                <w:b/>
                <w:bCs/>
              </w:rPr>
              <w:t>6</w:t>
            </w:r>
          </w:p>
        </w:tc>
      </w:tr>
      <w:tr w:rsidR="008007F5" w14:paraId="3E085D94" w14:textId="77777777" w:rsidTr="00BC03C4">
        <w:trPr>
          <w:trHeight w:val="514"/>
        </w:trPr>
        <w:tc>
          <w:tcPr>
            <w:tcW w:w="674" w:type="dxa"/>
            <w:shd w:val="clear" w:color="auto" w:fill="auto"/>
          </w:tcPr>
          <w:p w14:paraId="109F3590" w14:textId="1403A168" w:rsidR="008007F5" w:rsidRPr="00BC03C4" w:rsidRDefault="00C07B0C" w:rsidP="00F434E0">
            <w:pPr>
              <w:tabs>
                <w:tab w:val="left" w:pos="1965"/>
              </w:tabs>
              <w:rPr>
                <w:rFonts w:ascii="Arial" w:hAnsi="Arial" w:cs="Arial"/>
                <w:b/>
                <w:bCs/>
              </w:rPr>
            </w:pPr>
            <w:r w:rsidRPr="00BC03C4">
              <w:rPr>
                <w:rFonts w:ascii="Arial" w:hAnsi="Arial" w:cs="Arial"/>
                <w:b/>
                <w:bCs/>
              </w:rPr>
              <w:t>5.</w:t>
            </w:r>
          </w:p>
        </w:tc>
        <w:tc>
          <w:tcPr>
            <w:tcW w:w="8068" w:type="dxa"/>
            <w:shd w:val="clear" w:color="auto" w:fill="auto"/>
          </w:tcPr>
          <w:p w14:paraId="46D6966D" w14:textId="43DE17D6" w:rsidR="008007F5" w:rsidRPr="00BC03C4" w:rsidRDefault="00350554" w:rsidP="00F434E0">
            <w:pPr>
              <w:tabs>
                <w:tab w:val="left" w:pos="1965"/>
              </w:tabs>
              <w:rPr>
                <w:rFonts w:ascii="Arial" w:hAnsi="Arial" w:cs="Arial"/>
                <w:b/>
                <w:bCs/>
              </w:rPr>
            </w:pPr>
            <w:r w:rsidRPr="00BC03C4">
              <w:rPr>
                <w:rFonts w:ascii="Arial" w:hAnsi="Arial" w:cs="Arial"/>
                <w:b/>
                <w:bCs/>
              </w:rPr>
              <w:t>Abandoned property</w:t>
            </w:r>
          </w:p>
        </w:tc>
        <w:tc>
          <w:tcPr>
            <w:tcW w:w="1924" w:type="dxa"/>
            <w:shd w:val="clear" w:color="auto" w:fill="auto"/>
          </w:tcPr>
          <w:p w14:paraId="3155A785" w14:textId="17933FA9" w:rsidR="008007F5" w:rsidRPr="00BC03C4" w:rsidRDefault="00BC03C4" w:rsidP="00415265">
            <w:pPr>
              <w:tabs>
                <w:tab w:val="left" w:pos="1965"/>
              </w:tabs>
              <w:jc w:val="right"/>
              <w:rPr>
                <w:rFonts w:ascii="Arial" w:hAnsi="Arial" w:cs="Arial"/>
                <w:b/>
                <w:bCs/>
              </w:rPr>
            </w:pPr>
            <w:r w:rsidRPr="00BC03C4">
              <w:rPr>
                <w:rFonts w:ascii="Arial" w:hAnsi="Arial" w:cs="Arial"/>
                <w:b/>
                <w:bCs/>
              </w:rPr>
              <w:t>6 and 7</w:t>
            </w:r>
          </w:p>
        </w:tc>
      </w:tr>
      <w:tr w:rsidR="00F434E0" w14:paraId="4AE4FD82" w14:textId="77777777" w:rsidTr="00BC03C4">
        <w:trPr>
          <w:trHeight w:val="514"/>
        </w:trPr>
        <w:tc>
          <w:tcPr>
            <w:tcW w:w="674" w:type="dxa"/>
            <w:shd w:val="clear" w:color="auto" w:fill="auto"/>
          </w:tcPr>
          <w:p w14:paraId="42DBD471" w14:textId="2DAFA3B5" w:rsidR="00F434E0" w:rsidRPr="00BC03C4" w:rsidRDefault="00C07B0C" w:rsidP="00F434E0">
            <w:pPr>
              <w:tabs>
                <w:tab w:val="left" w:pos="1965"/>
              </w:tabs>
              <w:rPr>
                <w:rFonts w:ascii="Arial" w:hAnsi="Arial" w:cs="Arial"/>
                <w:b/>
                <w:bCs/>
              </w:rPr>
            </w:pPr>
            <w:r w:rsidRPr="00BC03C4">
              <w:rPr>
                <w:rFonts w:ascii="Arial" w:hAnsi="Arial" w:cs="Arial"/>
                <w:b/>
                <w:bCs/>
              </w:rPr>
              <w:t>6.</w:t>
            </w:r>
          </w:p>
        </w:tc>
        <w:tc>
          <w:tcPr>
            <w:tcW w:w="8068" w:type="dxa"/>
            <w:shd w:val="clear" w:color="auto" w:fill="auto"/>
          </w:tcPr>
          <w:p w14:paraId="0671DD9A" w14:textId="1F16312D" w:rsidR="00F434E0" w:rsidRPr="00BC03C4" w:rsidRDefault="00F434E0" w:rsidP="00F434E0">
            <w:pPr>
              <w:tabs>
                <w:tab w:val="left" w:pos="1965"/>
              </w:tabs>
              <w:rPr>
                <w:rFonts w:ascii="Arial" w:hAnsi="Arial" w:cs="Arial"/>
                <w:b/>
                <w:bCs/>
              </w:rPr>
            </w:pPr>
            <w:r w:rsidRPr="00BC03C4">
              <w:rPr>
                <w:rFonts w:ascii="Arial" w:hAnsi="Arial" w:cs="Arial"/>
                <w:b/>
                <w:bCs/>
              </w:rPr>
              <w:t>Related documents</w:t>
            </w:r>
          </w:p>
        </w:tc>
        <w:tc>
          <w:tcPr>
            <w:tcW w:w="1924" w:type="dxa"/>
            <w:shd w:val="clear" w:color="auto" w:fill="auto"/>
          </w:tcPr>
          <w:p w14:paraId="594F1BA9" w14:textId="06FDEE12" w:rsidR="00F434E0" w:rsidRPr="00BC03C4" w:rsidRDefault="00BC03C4" w:rsidP="00415265">
            <w:pPr>
              <w:tabs>
                <w:tab w:val="left" w:pos="1965"/>
              </w:tabs>
              <w:jc w:val="right"/>
              <w:rPr>
                <w:rFonts w:ascii="Arial" w:hAnsi="Arial" w:cs="Arial"/>
                <w:b/>
                <w:bCs/>
              </w:rPr>
            </w:pPr>
            <w:r w:rsidRPr="00BC03C4">
              <w:rPr>
                <w:rFonts w:ascii="Arial" w:hAnsi="Arial" w:cs="Arial"/>
                <w:b/>
                <w:bCs/>
              </w:rPr>
              <w:t>7</w:t>
            </w:r>
          </w:p>
        </w:tc>
      </w:tr>
      <w:tr w:rsidR="00F434E0" w14:paraId="5E99DE05" w14:textId="77777777" w:rsidTr="00BC03C4">
        <w:trPr>
          <w:trHeight w:val="483"/>
        </w:trPr>
        <w:tc>
          <w:tcPr>
            <w:tcW w:w="674" w:type="dxa"/>
            <w:shd w:val="clear" w:color="auto" w:fill="auto"/>
          </w:tcPr>
          <w:p w14:paraId="1CF0ACF5" w14:textId="0BBB0CFA" w:rsidR="00F434E0" w:rsidRPr="00BC03C4" w:rsidRDefault="00C07B0C" w:rsidP="00F434E0">
            <w:pPr>
              <w:tabs>
                <w:tab w:val="left" w:pos="1965"/>
              </w:tabs>
              <w:rPr>
                <w:rFonts w:ascii="Arial" w:hAnsi="Arial" w:cs="Arial"/>
                <w:b/>
                <w:bCs/>
              </w:rPr>
            </w:pPr>
            <w:r w:rsidRPr="00BC03C4">
              <w:rPr>
                <w:rFonts w:ascii="Arial" w:hAnsi="Arial" w:cs="Arial"/>
                <w:b/>
                <w:bCs/>
              </w:rPr>
              <w:t>7.</w:t>
            </w:r>
          </w:p>
        </w:tc>
        <w:tc>
          <w:tcPr>
            <w:tcW w:w="8068" w:type="dxa"/>
            <w:shd w:val="clear" w:color="auto" w:fill="auto"/>
          </w:tcPr>
          <w:p w14:paraId="5827F9F6" w14:textId="4D6665B0" w:rsidR="00F434E0" w:rsidRPr="00BC03C4" w:rsidRDefault="00F434E0" w:rsidP="00F434E0">
            <w:pPr>
              <w:tabs>
                <w:tab w:val="left" w:pos="1965"/>
              </w:tabs>
              <w:rPr>
                <w:rFonts w:ascii="Arial" w:hAnsi="Arial" w:cs="Arial"/>
                <w:b/>
                <w:bCs/>
              </w:rPr>
            </w:pPr>
            <w:r w:rsidRPr="00BC03C4">
              <w:rPr>
                <w:rFonts w:ascii="Arial" w:hAnsi="Arial" w:cs="Arial"/>
                <w:b/>
                <w:bCs/>
              </w:rPr>
              <w:t>References</w:t>
            </w:r>
          </w:p>
        </w:tc>
        <w:tc>
          <w:tcPr>
            <w:tcW w:w="1924" w:type="dxa"/>
            <w:shd w:val="clear" w:color="auto" w:fill="auto"/>
          </w:tcPr>
          <w:p w14:paraId="10AD2CBC" w14:textId="56A2DA71" w:rsidR="00F434E0" w:rsidRPr="00BC03C4" w:rsidRDefault="00BC03C4" w:rsidP="00415265">
            <w:pPr>
              <w:tabs>
                <w:tab w:val="left" w:pos="1965"/>
              </w:tabs>
              <w:jc w:val="right"/>
              <w:rPr>
                <w:rFonts w:ascii="Arial" w:hAnsi="Arial" w:cs="Arial"/>
                <w:b/>
                <w:bCs/>
              </w:rPr>
            </w:pPr>
            <w:r w:rsidRPr="00BC03C4">
              <w:rPr>
                <w:rFonts w:ascii="Arial" w:hAnsi="Arial" w:cs="Arial"/>
                <w:b/>
                <w:bCs/>
              </w:rPr>
              <w:t>7</w:t>
            </w:r>
          </w:p>
        </w:tc>
      </w:tr>
      <w:tr w:rsidR="00F434E0" w14:paraId="2CAB8C4F" w14:textId="77777777" w:rsidTr="00BC03C4">
        <w:trPr>
          <w:trHeight w:val="514"/>
        </w:trPr>
        <w:tc>
          <w:tcPr>
            <w:tcW w:w="674" w:type="dxa"/>
            <w:shd w:val="clear" w:color="auto" w:fill="auto"/>
          </w:tcPr>
          <w:p w14:paraId="03E25073" w14:textId="0C1DA6D4" w:rsidR="00F434E0" w:rsidRPr="00BC03C4" w:rsidRDefault="00C07B0C" w:rsidP="00F434E0">
            <w:pPr>
              <w:tabs>
                <w:tab w:val="left" w:pos="1965"/>
              </w:tabs>
              <w:rPr>
                <w:rFonts w:ascii="Arial" w:hAnsi="Arial" w:cs="Arial"/>
                <w:b/>
                <w:bCs/>
              </w:rPr>
            </w:pPr>
            <w:r w:rsidRPr="00BC03C4">
              <w:rPr>
                <w:rFonts w:ascii="Arial" w:hAnsi="Arial" w:cs="Arial"/>
                <w:b/>
                <w:bCs/>
              </w:rPr>
              <w:t>8.</w:t>
            </w:r>
          </w:p>
        </w:tc>
        <w:tc>
          <w:tcPr>
            <w:tcW w:w="8068" w:type="dxa"/>
            <w:shd w:val="clear" w:color="auto" w:fill="auto"/>
          </w:tcPr>
          <w:p w14:paraId="1C350B52" w14:textId="61AB40DE" w:rsidR="00F434E0" w:rsidRPr="00BC03C4" w:rsidRDefault="00F434E0" w:rsidP="00F434E0">
            <w:pPr>
              <w:tabs>
                <w:tab w:val="left" w:pos="1965"/>
              </w:tabs>
              <w:rPr>
                <w:rFonts w:ascii="Arial" w:hAnsi="Arial" w:cs="Arial"/>
                <w:b/>
                <w:bCs/>
              </w:rPr>
            </w:pPr>
            <w:r w:rsidRPr="00BC03C4">
              <w:rPr>
                <w:rFonts w:ascii="Arial" w:hAnsi="Arial" w:cs="Arial"/>
                <w:b/>
                <w:bCs/>
              </w:rPr>
              <w:t>Review date</w:t>
            </w:r>
          </w:p>
        </w:tc>
        <w:tc>
          <w:tcPr>
            <w:tcW w:w="1924" w:type="dxa"/>
            <w:shd w:val="clear" w:color="auto" w:fill="auto"/>
          </w:tcPr>
          <w:p w14:paraId="39FFFD77" w14:textId="40A2F9D7" w:rsidR="00F434E0" w:rsidRPr="00BC03C4" w:rsidRDefault="00BC03C4" w:rsidP="00415265">
            <w:pPr>
              <w:tabs>
                <w:tab w:val="left" w:pos="1965"/>
              </w:tabs>
              <w:jc w:val="right"/>
              <w:rPr>
                <w:rFonts w:ascii="Arial" w:hAnsi="Arial" w:cs="Arial"/>
                <w:b/>
                <w:bCs/>
              </w:rPr>
            </w:pPr>
            <w:r w:rsidRPr="00BC03C4">
              <w:rPr>
                <w:rFonts w:ascii="Arial" w:hAnsi="Arial" w:cs="Arial"/>
                <w:b/>
                <w:bCs/>
              </w:rPr>
              <w:t>7</w:t>
            </w:r>
          </w:p>
        </w:tc>
      </w:tr>
    </w:tbl>
    <w:p w14:paraId="1F738641" w14:textId="77777777" w:rsidR="00F434E0" w:rsidRDefault="00F434E0" w:rsidP="00F434E0">
      <w:pPr>
        <w:tabs>
          <w:tab w:val="left" w:pos="1965"/>
        </w:tabs>
        <w:rPr>
          <w:rFonts w:ascii="Arial" w:hAnsi="Arial" w:cs="Arial"/>
          <w:sz w:val="24"/>
          <w:szCs w:val="24"/>
        </w:rPr>
      </w:pPr>
    </w:p>
    <w:p w14:paraId="35A71DEE" w14:textId="77777777" w:rsidR="00F434E0" w:rsidRDefault="00F434E0" w:rsidP="00F434E0">
      <w:pPr>
        <w:tabs>
          <w:tab w:val="left" w:pos="1965"/>
        </w:tabs>
        <w:rPr>
          <w:rFonts w:ascii="Arial" w:hAnsi="Arial" w:cs="Arial"/>
          <w:sz w:val="24"/>
          <w:szCs w:val="24"/>
        </w:rPr>
      </w:pPr>
    </w:p>
    <w:p w14:paraId="68E65E0D" w14:textId="77777777" w:rsidR="003E2303" w:rsidRDefault="003E2303" w:rsidP="00F434E0">
      <w:pPr>
        <w:tabs>
          <w:tab w:val="left" w:pos="1965"/>
        </w:tabs>
        <w:rPr>
          <w:rFonts w:ascii="Arial" w:hAnsi="Arial" w:cs="Arial"/>
          <w:sz w:val="24"/>
          <w:szCs w:val="24"/>
        </w:rPr>
      </w:pPr>
    </w:p>
    <w:p w14:paraId="3906D6D3" w14:textId="77777777" w:rsidR="003E2303" w:rsidRDefault="003E2303" w:rsidP="00F434E0">
      <w:pPr>
        <w:tabs>
          <w:tab w:val="left" w:pos="1965"/>
        </w:tabs>
        <w:rPr>
          <w:rFonts w:ascii="Arial" w:hAnsi="Arial" w:cs="Arial"/>
          <w:sz w:val="24"/>
          <w:szCs w:val="24"/>
        </w:rPr>
      </w:pPr>
    </w:p>
    <w:p w14:paraId="52009661" w14:textId="09FC3F01" w:rsidR="00F434E0" w:rsidRDefault="00F434E0" w:rsidP="003E2303">
      <w:pPr>
        <w:tabs>
          <w:tab w:val="left" w:pos="1965"/>
        </w:tabs>
        <w:jc w:val="center"/>
        <w:rPr>
          <w:rFonts w:ascii="Arial" w:hAnsi="Arial" w:cs="Arial"/>
          <w:b/>
          <w:bCs/>
          <w:sz w:val="32"/>
          <w:szCs w:val="32"/>
        </w:rPr>
      </w:pPr>
      <w:r w:rsidRPr="003E2303">
        <w:rPr>
          <w:rFonts w:ascii="Arial" w:hAnsi="Arial" w:cs="Arial"/>
          <w:b/>
          <w:bCs/>
          <w:sz w:val="32"/>
          <w:szCs w:val="32"/>
        </w:rPr>
        <w:t xml:space="preserve">This Policy is available in larger print. Please contact </w:t>
      </w:r>
      <w:r w:rsidR="003E2303" w:rsidRPr="003E2303">
        <w:rPr>
          <w:rFonts w:ascii="Arial" w:hAnsi="Arial" w:cs="Arial"/>
          <w:b/>
          <w:bCs/>
          <w:sz w:val="32"/>
          <w:szCs w:val="32"/>
        </w:rPr>
        <w:t>Housing Solutions if you require assistance.</w:t>
      </w:r>
    </w:p>
    <w:p w14:paraId="6B3807D6" w14:textId="77777777" w:rsidR="003E2303" w:rsidRPr="003E2303" w:rsidRDefault="003E2303" w:rsidP="003E2303">
      <w:pPr>
        <w:rPr>
          <w:rFonts w:ascii="Arial" w:hAnsi="Arial" w:cs="Arial"/>
          <w:sz w:val="32"/>
          <w:szCs w:val="32"/>
        </w:rPr>
      </w:pPr>
    </w:p>
    <w:p w14:paraId="6EFCD025" w14:textId="77777777" w:rsidR="003E2303" w:rsidRPr="003E2303" w:rsidRDefault="003E2303" w:rsidP="00252397">
      <w:pPr>
        <w:jc w:val="center"/>
        <w:rPr>
          <w:rFonts w:ascii="Arial" w:hAnsi="Arial" w:cs="Arial"/>
          <w:sz w:val="32"/>
          <w:szCs w:val="32"/>
        </w:rPr>
      </w:pPr>
    </w:p>
    <w:p w14:paraId="26FBAFA9" w14:textId="77777777" w:rsidR="003E2303" w:rsidRPr="003E2303" w:rsidRDefault="003E2303" w:rsidP="003E2303">
      <w:pPr>
        <w:rPr>
          <w:rFonts w:ascii="Arial" w:hAnsi="Arial" w:cs="Arial"/>
          <w:sz w:val="32"/>
          <w:szCs w:val="32"/>
        </w:rPr>
      </w:pPr>
    </w:p>
    <w:p w14:paraId="1B5B3E8C" w14:textId="77777777" w:rsidR="003E2303" w:rsidRPr="003E2303" w:rsidRDefault="003E2303" w:rsidP="003E2303">
      <w:pPr>
        <w:rPr>
          <w:rFonts w:ascii="Arial" w:hAnsi="Arial" w:cs="Arial"/>
          <w:sz w:val="32"/>
          <w:szCs w:val="32"/>
        </w:rPr>
      </w:pPr>
    </w:p>
    <w:p w14:paraId="1017D2F8" w14:textId="77777777" w:rsidR="003E2303" w:rsidRPr="003E2303" w:rsidRDefault="003E2303" w:rsidP="003E2303">
      <w:pPr>
        <w:rPr>
          <w:rFonts w:ascii="Arial" w:hAnsi="Arial" w:cs="Arial"/>
          <w:sz w:val="32"/>
          <w:szCs w:val="32"/>
        </w:rPr>
      </w:pPr>
    </w:p>
    <w:p w14:paraId="4A10DA9B" w14:textId="77777777" w:rsidR="003E2303" w:rsidRPr="003E2303" w:rsidRDefault="003E2303" w:rsidP="003E2303">
      <w:pPr>
        <w:rPr>
          <w:rFonts w:ascii="Arial" w:hAnsi="Arial" w:cs="Arial"/>
          <w:sz w:val="32"/>
          <w:szCs w:val="32"/>
        </w:rPr>
      </w:pPr>
    </w:p>
    <w:p w14:paraId="12B45610" w14:textId="77777777" w:rsidR="003E2303" w:rsidRPr="003E2303" w:rsidRDefault="003E2303" w:rsidP="003E2303">
      <w:pPr>
        <w:rPr>
          <w:rFonts w:ascii="Arial" w:hAnsi="Arial" w:cs="Arial"/>
          <w:sz w:val="32"/>
          <w:szCs w:val="32"/>
        </w:rPr>
      </w:pPr>
    </w:p>
    <w:p w14:paraId="2B9BB555" w14:textId="77777777" w:rsidR="003E2303" w:rsidRPr="003E2303" w:rsidRDefault="003E2303" w:rsidP="003E2303">
      <w:pPr>
        <w:rPr>
          <w:rFonts w:ascii="Arial" w:hAnsi="Arial" w:cs="Arial"/>
          <w:sz w:val="32"/>
          <w:szCs w:val="32"/>
        </w:rPr>
      </w:pPr>
    </w:p>
    <w:p w14:paraId="77D73659" w14:textId="77777777" w:rsidR="003E2303" w:rsidRPr="003E2303" w:rsidRDefault="003E2303" w:rsidP="003E2303">
      <w:pPr>
        <w:rPr>
          <w:rFonts w:ascii="Arial" w:hAnsi="Arial" w:cs="Arial"/>
          <w:sz w:val="32"/>
          <w:szCs w:val="32"/>
        </w:rPr>
      </w:pPr>
    </w:p>
    <w:p w14:paraId="0B3A458A" w14:textId="3EAB2F3C" w:rsidR="00D863FD" w:rsidRDefault="00D863FD" w:rsidP="00D863FD">
      <w:pPr>
        <w:tabs>
          <w:tab w:val="left" w:pos="1545"/>
          <w:tab w:val="left" w:pos="4455"/>
        </w:tabs>
        <w:rPr>
          <w:rFonts w:ascii="Arial" w:hAnsi="Arial" w:cs="Arial"/>
          <w:b/>
          <w:bCs/>
          <w:sz w:val="32"/>
          <w:szCs w:val="32"/>
        </w:rPr>
      </w:pPr>
    </w:p>
    <w:p w14:paraId="6F059FEB" w14:textId="77777777" w:rsidR="00350554" w:rsidRDefault="00350554" w:rsidP="00D863FD">
      <w:pPr>
        <w:tabs>
          <w:tab w:val="left" w:pos="1545"/>
          <w:tab w:val="left" w:pos="4455"/>
        </w:tabs>
        <w:rPr>
          <w:rFonts w:ascii="Arial" w:hAnsi="Arial" w:cs="Arial"/>
          <w:b/>
          <w:bCs/>
          <w:sz w:val="32"/>
          <w:szCs w:val="32"/>
        </w:rPr>
      </w:pPr>
    </w:p>
    <w:p w14:paraId="3E1CF83C" w14:textId="77777777" w:rsidR="0045346E" w:rsidRDefault="0045346E" w:rsidP="00D863FD">
      <w:pPr>
        <w:tabs>
          <w:tab w:val="left" w:pos="1545"/>
          <w:tab w:val="left" w:pos="4455"/>
        </w:tabs>
        <w:rPr>
          <w:rFonts w:ascii="Arial" w:hAnsi="Arial" w:cs="Arial"/>
          <w:b/>
          <w:bCs/>
          <w:sz w:val="32"/>
          <w:szCs w:val="32"/>
        </w:rPr>
      </w:pPr>
    </w:p>
    <w:p w14:paraId="5E2835E7" w14:textId="77777777" w:rsidR="00C247E6" w:rsidRDefault="00C247E6" w:rsidP="00D863FD">
      <w:pPr>
        <w:tabs>
          <w:tab w:val="left" w:pos="1545"/>
          <w:tab w:val="left" w:pos="4455"/>
        </w:tabs>
        <w:rPr>
          <w:rFonts w:ascii="Arial" w:hAnsi="Arial" w:cs="Arial"/>
          <w:sz w:val="32"/>
          <w:szCs w:val="32"/>
        </w:rPr>
      </w:pPr>
    </w:p>
    <w:tbl>
      <w:tblPr>
        <w:tblStyle w:val="TableGrid"/>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638"/>
      </w:tblGrid>
      <w:tr w:rsidR="003E2303" w14:paraId="067DFFCF" w14:textId="77777777" w:rsidTr="00392A0E">
        <w:trPr>
          <w:trHeight w:val="299"/>
        </w:trPr>
        <w:tc>
          <w:tcPr>
            <w:tcW w:w="568" w:type="dxa"/>
          </w:tcPr>
          <w:p w14:paraId="484400D3" w14:textId="5C2DBF9B" w:rsidR="003E2303" w:rsidRPr="008007F5" w:rsidRDefault="003E2303" w:rsidP="003E2303">
            <w:pPr>
              <w:tabs>
                <w:tab w:val="left" w:pos="1545"/>
              </w:tabs>
              <w:rPr>
                <w:rFonts w:ascii="Arial" w:hAnsi="Arial" w:cs="Arial"/>
                <w:b/>
                <w:bCs/>
              </w:rPr>
            </w:pPr>
            <w:r w:rsidRPr="008007F5">
              <w:rPr>
                <w:rFonts w:ascii="Arial" w:hAnsi="Arial" w:cs="Arial"/>
                <w:b/>
                <w:bCs/>
              </w:rPr>
              <w:lastRenderedPageBreak/>
              <w:t>1.</w:t>
            </w:r>
          </w:p>
        </w:tc>
        <w:tc>
          <w:tcPr>
            <w:tcW w:w="9638" w:type="dxa"/>
          </w:tcPr>
          <w:p w14:paraId="73E07F3B" w14:textId="0C054066" w:rsidR="003E2303" w:rsidRPr="008007F5" w:rsidRDefault="003E2303" w:rsidP="003E2303">
            <w:pPr>
              <w:tabs>
                <w:tab w:val="left" w:pos="1545"/>
              </w:tabs>
              <w:rPr>
                <w:rFonts w:ascii="Arial" w:hAnsi="Arial" w:cs="Arial"/>
                <w:b/>
                <w:bCs/>
              </w:rPr>
            </w:pPr>
            <w:r w:rsidRPr="008007F5">
              <w:rPr>
                <w:rFonts w:ascii="Arial" w:hAnsi="Arial" w:cs="Arial"/>
                <w:b/>
                <w:bCs/>
              </w:rPr>
              <w:t xml:space="preserve">Objectives </w:t>
            </w:r>
          </w:p>
        </w:tc>
      </w:tr>
      <w:tr w:rsidR="003E2303" w14:paraId="7E5D16C5" w14:textId="77777777" w:rsidTr="00392A0E">
        <w:trPr>
          <w:trHeight w:val="702"/>
        </w:trPr>
        <w:tc>
          <w:tcPr>
            <w:tcW w:w="568" w:type="dxa"/>
          </w:tcPr>
          <w:p w14:paraId="2ACB67F7" w14:textId="785CC0D8" w:rsidR="003E2303" w:rsidRPr="008007F5" w:rsidRDefault="003E2303" w:rsidP="003E2303">
            <w:pPr>
              <w:tabs>
                <w:tab w:val="left" w:pos="1545"/>
              </w:tabs>
              <w:rPr>
                <w:rFonts w:ascii="Arial" w:hAnsi="Arial" w:cs="Arial"/>
              </w:rPr>
            </w:pPr>
            <w:r w:rsidRPr="008007F5">
              <w:rPr>
                <w:rFonts w:ascii="Arial" w:hAnsi="Arial" w:cs="Arial"/>
              </w:rPr>
              <w:t>1.1</w:t>
            </w:r>
          </w:p>
        </w:tc>
        <w:tc>
          <w:tcPr>
            <w:tcW w:w="9638" w:type="dxa"/>
          </w:tcPr>
          <w:p w14:paraId="6686BC92" w14:textId="4FB20707" w:rsidR="00674B09" w:rsidRDefault="003E2303" w:rsidP="003E2303">
            <w:pPr>
              <w:tabs>
                <w:tab w:val="left" w:pos="1545"/>
              </w:tabs>
              <w:rPr>
                <w:rFonts w:ascii="Arial" w:hAnsi="Arial" w:cs="Arial"/>
              </w:rPr>
            </w:pPr>
            <w:r w:rsidRPr="008007F5">
              <w:rPr>
                <w:rFonts w:ascii="Arial" w:hAnsi="Arial" w:cs="Arial"/>
              </w:rPr>
              <w:t>This policy outlines Nuneaton and Bedworth Borough Council’s Housing Solutions Teams approach to</w:t>
            </w:r>
            <w:r w:rsidR="00674B09" w:rsidRPr="008007F5">
              <w:rPr>
                <w:rFonts w:ascii="Arial" w:hAnsi="Arial" w:cs="Arial"/>
              </w:rPr>
              <w:t xml:space="preserve"> storing </w:t>
            </w:r>
            <w:r w:rsidR="005022E3" w:rsidRPr="008007F5">
              <w:rPr>
                <w:rFonts w:ascii="Arial" w:hAnsi="Arial" w:cs="Arial"/>
              </w:rPr>
              <w:t>client’s</w:t>
            </w:r>
            <w:r w:rsidR="00674B09" w:rsidRPr="008007F5">
              <w:rPr>
                <w:rFonts w:ascii="Arial" w:hAnsi="Arial" w:cs="Arial"/>
              </w:rPr>
              <w:t xml:space="preserve"> property whilst they reside in temporary accommodation. </w:t>
            </w:r>
            <w:r w:rsidR="005022E3" w:rsidRPr="008007F5">
              <w:rPr>
                <w:rFonts w:ascii="Arial" w:hAnsi="Arial" w:cs="Arial"/>
              </w:rPr>
              <w:t xml:space="preserve">The Council recognises </w:t>
            </w:r>
            <w:r w:rsidR="00866DE1" w:rsidRPr="008007F5">
              <w:rPr>
                <w:rFonts w:ascii="Arial" w:hAnsi="Arial" w:cs="Arial"/>
              </w:rPr>
              <w:t>its</w:t>
            </w:r>
            <w:r w:rsidR="005022E3" w:rsidRPr="008007F5">
              <w:rPr>
                <w:rFonts w:ascii="Arial" w:hAnsi="Arial" w:cs="Arial"/>
              </w:rPr>
              <w:t xml:space="preserve"> duty to protect </w:t>
            </w:r>
            <w:r w:rsidR="0098069F" w:rsidRPr="008007F5">
              <w:rPr>
                <w:rFonts w:ascii="Arial" w:hAnsi="Arial" w:cs="Arial"/>
              </w:rPr>
              <w:t>client’s</w:t>
            </w:r>
            <w:r w:rsidR="005022E3" w:rsidRPr="008007F5">
              <w:rPr>
                <w:rFonts w:ascii="Arial" w:hAnsi="Arial" w:cs="Arial"/>
              </w:rPr>
              <w:t xml:space="preserve"> property</w:t>
            </w:r>
            <w:r w:rsidR="0084334C" w:rsidRPr="008007F5">
              <w:rPr>
                <w:rFonts w:ascii="Arial" w:hAnsi="Arial" w:cs="Arial"/>
              </w:rPr>
              <w:t xml:space="preserve"> in some circumstances if they have reason to believe that a </w:t>
            </w:r>
            <w:r w:rsidR="006C5340" w:rsidRPr="008007F5">
              <w:rPr>
                <w:rFonts w:ascii="Arial" w:hAnsi="Arial" w:cs="Arial"/>
              </w:rPr>
              <w:t>client’s</w:t>
            </w:r>
            <w:r w:rsidR="0084334C" w:rsidRPr="008007F5">
              <w:rPr>
                <w:rFonts w:ascii="Arial" w:hAnsi="Arial" w:cs="Arial"/>
              </w:rPr>
              <w:t xml:space="preserve"> property</w:t>
            </w:r>
            <w:r w:rsidR="0089292E">
              <w:rPr>
                <w:rFonts w:ascii="Arial" w:hAnsi="Arial" w:cs="Arial"/>
              </w:rPr>
              <w:t xml:space="preserve"> is at risk of damage or loss and no other suitable arrangements are being made.</w:t>
            </w:r>
          </w:p>
          <w:p w14:paraId="4BF2AD43" w14:textId="77777777" w:rsidR="001620CB" w:rsidRDefault="001620CB" w:rsidP="003E2303">
            <w:pPr>
              <w:tabs>
                <w:tab w:val="left" w:pos="1545"/>
              </w:tabs>
              <w:rPr>
                <w:rFonts w:ascii="Arial" w:hAnsi="Arial" w:cs="Arial"/>
              </w:rPr>
            </w:pPr>
          </w:p>
          <w:p w14:paraId="3603C4F2" w14:textId="1826F699" w:rsidR="001620CB" w:rsidRPr="00043E3A" w:rsidRDefault="001620CB" w:rsidP="003E2303">
            <w:pPr>
              <w:tabs>
                <w:tab w:val="left" w:pos="1545"/>
              </w:tabs>
              <w:rPr>
                <w:rFonts w:ascii="Arial" w:hAnsi="Arial" w:cs="Arial"/>
              </w:rPr>
            </w:pPr>
            <w:r w:rsidRPr="00043E3A">
              <w:rPr>
                <w:rFonts w:ascii="Arial" w:hAnsi="Arial" w:cs="Arial"/>
              </w:rPr>
              <w:t xml:space="preserve">Section 211 and 212 of the Housing Act </w:t>
            </w:r>
            <w:r w:rsidR="00394AB5" w:rsidRPr="00043E3A">
              <w:rPr>
                <w:rFonts w:ascii="Arial" w:hAnsi="Arial" w:cs="Arial"/>
              </w:rPr>
              <w:t>1996 states:</w:t>
            </w:r>
          </w:p>
          <w:p w14:paraId="46F079F9" w14:textId="77777777" w:rsidR="00B6490F" w:rsidRPr="00043E3A" w:rsidRDefault="00B6490F" w:rsidP="00866DE1">
            <w:pPr>
              <w:tabs>
                <w:tab w:val="left" w:pos="1545"/>
              </w:tabs>
              <w:rPr>
                <w:rFonts w:ascii="Arial" w:hAnsi="Arial" w:cs="Arial"/>
                <w:i/>
                <w:iCs/>
              </w:rPr>
            </w:pPr>
          </w:p>
          <w:p w14:paraId="666A5657" w14:textId="6360893F" w:rsidR="0013618D" w:rsidRPr="009F0CE0" w:rsidRDefault="00AB2AD0" w:rsidP="00866DE1">
            <w:pPr>
              <w:tabs>
                <w:tab w:val="left" w:pos="1545"/>
              </w:tabs>
              <w:rPr>
                <w:rFonts w:ascii="Arial" w:hAnsi="Arial" w:cs="Arial"/>
                <w:i/>
                <w:iCs/>
                <w:sz w:val="20"/>
                <w:szCs w:val="20"/>
                <w:u w:val="single"/>
              </w:rPr>
            </w:pPr>
            <w:r w:rsidRPr="009F0CE0">
              <w:rPr>
                <w:rFonts w:ascii="Arial" w:hAnsi="Arial" w:cs="Arial"/>
                <w:i/>
                <w:iCs/>
                <w:sz w:val="20"/>
                <w:szCs w:val="20"/>
                <w:u w:val="single"/>
              </w:rPr>
              <w:t xml:space="preserve">Section 211 - </w:t>
            </w:r>
            <w:r w:rsidR="0013618D" w:rsidRPr="009F0CE0">
              <w:rPr>
                <w:rFonts w:ascii="Arial" w:hAnsi="Arial" w:cs="Arial"/>
                <w:i/>
                <w:iCs/>
                <w:sz w:val="20"/>
                <w:szCs w:val="20"/>
                <w:u w:val="single"/>
              </w:rPr>
              <w:t>Pro</w:t>
            </w:r>
            <w:r w:rsidR="00592903" w:rsidRPr="009F0CE0">
              <w:rPr>
                <w:rFonts w:ascii="Arial" w:hAnsi="Arial" w:cs="Arial"/>
                <w:i/>
                <w:iCs/>
                <w:sz w:val="20"/>
                <w:szCs w:val="20"/>
                <w:u w:val="single"/>
              </w:rPr>
              <w:t xml:space="preserve">tection of property of homeless persons and persons threatened with homelessness. </w:t>
            </w:r>
          </w:p>
          <w:p w14:paraId="0943177F" w14:textId="77777777" w:rsidR="00592903" w:rsidRPr="009F0CE0" w:rsidRDefault="00592903" w:rsidP="00866DE1">
            <w:pPr>
              <w:tabs>
                <w:tab w:val="left" w:pos="1545"/>
              </w:tabs>
              <w:rPr>
                <w:rFonts w:ascii="Arial" w:hAnsi="Arial" w:cs="Arial"/>
                <w:i/>
                <w:iCs/>
                <w:sz w:val="20"/>
                <w:szCs w:val="20"/>
              </w:rPr>
            </w:pPr>
          </w:p>
          <w:p w14:paraId="4F7AEB1C" w14:textId="52F32BE0" w:rsidR="00592903" w:rsidRPr="009F0CE0" w:rsidRDefault="00592903" w:rsidP="00592903">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This section applies where a local housing authority have reason to believe that:</w:t>
            </w:r>
          </w:p>
          <w:p w14:paraId="20606A5E" w14:textId="77777777" w:rsidR="00592903" w:rsidRPr="009F0CE0" w:rsidRDefault="00592903" w:rsidP="00592903">
            <w:pPr>
              <w:pStyle w:val="ListParagraph"/>
              <w:tabs>
                <w:tab w:val="left" w:pos="1545"/>
              </w:tabs>
              <w:rPr>
                <w:rFonts w:ascii="Arial" w:hAnsi="Arial" w:cs="Arial"/>
                <w:i/>
                <w:iCs/>
                <w:sz w:val="20"/>
                <w:szCs w:val="20"/>
              </w:rPr>
            </w:pPr>
          </w:p>
          <w:p w14:paraId="1B96B09F" w14:textId="4F2A4CC0" w:rsidR="00592903" w:rsidRPr="009F0CE0" w:rsidRDefault="00592903" w:rsidP="00592903">
            <w:pPr>
              <w:pStyle w:val="ListParagraph"/>
              <w:numPr>
                <w:ilvl w:val="0"/>
                <w:numId w:val="13"/>
              </w:numPr>
              <w:tabs>
                <w:tab w:val="left" w:pos="1545"/>
              </w:tabs>
              <w:rPr>
                <w:rFonts w:ascii="Arial" w:hAnsi="Arial" w:cs="Arial"/>
                <w:i/>
                <w:iCs/>
                <w:sz w:val="20"/>
                <w:szCs w:val="20"/>
              </w:rPr>
            </w:pPr>
            <w:r w:rsidRPr="009F0CE0">
              <w:rPr>
                <w:rFonts w:ascii="Arial" w:hAnsi="Arial" w:cs="Arial"/>
                <w:i/>
                <w:iCs/>
                <w:sz w:val="20"/>
                <w:szCs w:val="20"/>
              </w:rPr>
              <w:t>There is a danger of loss, or damage, to any personal property</w:t>
            </w:r>
            <w:r w:rsidR="004C425B" w:rsidRPr="009F0CE0">
              <w:rPr>
                <w:rFonts w:ascii="Arial" w:hAnsi="Arial" w:cs="Arial"/>
                <w:i/>
                <w:iCs/>
                <w:sz w:val="20"/>
                <w:szCs w:val="20"/>
              </w:rPr>
              <w:t xml:space="preserve"> of an applicant by reason of his inability to protect it or deal with it, and</w:t>
            </w:r>
          </w:p>
          <w:p w14:paraId="792CA747" w14:textId="24CF35E5" w:rsidR="004C425B" w:rsidRPr="009F0CE0" w:rsidRDefault="004C425B" w:rsidP="00592903">
            <w:pPr>
              <w:pStyle w:val="ListParagraph"/>
              <w:numPr>
                <w:ilvl w:val="0"/>
                <w:numId w:val="13"/>
              </w:numPr>
              <w:tabs>
                <w:tab w:val="left" w:pos="1545"/>
              </w:tabs>
              <w:rPr>
                <w:rFonts w:ascii="Arial" w:hAnsi="Arial" w:cs="Arial"/>
                <w:i/>
                <w:iCs/>
                <w:sz w:val="20"/>
                <w:szCs w:val="20"/>
              </w:rPr>
            </w:pPr>
            <w:r w:rsidRPr="009F0CE0">
              <w:rPr>
                <w:rFonts w:ascii="Arial" w:hAnsi="Arial" w:cs="Arial"/>
                <w:i/>
                <w:iCs/>
                <w:sz w:val="20"/>
                <w:szCs w:val="20"/>
              </w:rPr>
              <w:t>No other suitable arrangements have been or are being made.</w:t>
            </w:r>
          </w:p>
          <w:p w14:paraId="6B6BF113" w14:textId="77777777" w:rsidR="008A3756" w:rsidRPr="009F0CE0" w:rsidRDefault="008A3756" w:rsidP="008A3756">
            <w:pPr>
              <w:pStyle w:val="ListParagraph"/>
              <w:tabs>
                <w:tab w:val="left" w:pos="1545"/>
              </w:tabs>
              <w:ind w:left="1080"/>
              <w:rPr>
                <w:rFonts w:ascii="Arial" w:hAnsi="Arial" w:cs="Arial"/>
                <w:i/>
                <w:iCs/>
                <w:sz w:val="20"/>
                <w:szCs w:val="20"/>
              </w:rPr>
            </w:pPr>
          </w:p>
          <w:p w14:paraId="14B24FA3" w14:textId="168BD7F1" w:rsidR="003E2303" w:rsidRPr="009F0CE0" w:rsidRDefault="008A3756" w:rsidP="001F1C10">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 xml:space="preserve">If the authority </w:t>
            </w:r>
            <w:r w:rsidR="00F154CC" w:rsidRPr="009F0CE0">
              <w:rPr>
                <w:rFonts w:ascii="Arial" w:hAnsi="Arial" w:cs="Arial"/>
                <w:i/>
                <w:iCs/>
                <w:sz w:val="20"/>
                <w:szCs w:val="20"/>
              </w:rPr>
              <w:t>has</w:t>
            </w:r>
            <w:r w:rsidRPr="009F0CE0">
              <w:rPr>
                <w:rFonts w:ascii="Arial" w:hAnsi="Arial" w:cs="Arial"/>
                <w:i/>
                <w:iCs/>
                <w:sz w:val="20"/>
                <w:szCs w:val="20"/>
              </w:rPr>
              <w:t xml:space="preserve"> become subject to any duty towards the applicant under</w:t>
            </w:r>
            <w:r w:rsidR="001F1C10" w:rsidRPr="009F0CE0">
              <w:rPr>
                <w:rFonts w:ascii="Arial" w:hAnsi="Arial" w:cs="Arial"/>
                <w:i/>
                <w:iCs/>
                <w:sz w:val="20"/>
                <w:szCs w:val="20"/>
              </w:rPr>
              <w:t>:</w:t>
            </w:r>
          </w:p>
          <w:p w14:paraId="50DF11A7" w14:textId="77777777" w:rsidR="001F1C10" w:rsidRPr="009F0CE0" w:rsidRDefault="001F1C10" w:rsidP="001F1C10">
            <w:pPr>
              <w:pStyle w:val="ListParagraph"/>
              <w:tabs>
                <w:tab w:val="left" w:pos="1545"/>
              </w:tabs>
              <w:rPr>
                <w:rFonts w:ascii="Arial" w:hAnsi="Arial" w:cs="Arial"/>
                <w:i/>
                <w:iCs/>
                <w:sz w:val="20"/>
                <w:szCs w:val="20"/>
              </w:rPr>
            </w:pPr>
          </w:p>
          <w:p w14:paraId="4D298D8A" w14:textId="77777777" w:rsidR="001F1C10" w:rsidRPr="009F0CE0" w:rsidRDefault="001F1C10" w:rsidP="001F1C10">
            <w:pPr>
              <w:pStyle w:val="ListParagraph"/>
              <w:numPr>
                <w:ilvl w:val="0"/>
                <w:numId w:val="14"/>
              </w:numPr>
              <w:tabs>
                <w:tab w:val="left" w:pos="1545"/>
              </w:tabs>
              <w:rPr>
                <w:rFonts w:ascii="Arial" w:hAnsi="Arial" w:cs="Arial"/>
                <w:i/>
                <w:iCs/>
                <w:sz w:val="20"/>
                <w:szCs w:val="20"/>
              </w:rPr>
            </w:pPr>
            <w:r w:rsidRPr="009F0CE0">
              <w:rPr>
                <w:rFonts w:ascii="Arial" w:hAnsi="Arial" w:cs="Arial"/>
                <w:i/>
                <w:iCs/>
                <w:sz w:val="20"/>
                <w:szCs w:val="20"/>
              </w:rPr>
              <w:t>Section 188 (interim duty to accommodation)</w:t>
            </w:r>
          </w:p>
          <w:p w14:paraId="639B7C50" w14:textId="0B2501D5" w:rsidR="001F1C10" w:rsidRPr="009F0CE0" w:rsidRDefault="004816AA" w:rsidP="001F1C10">
            <w:pPr>
              <w:pStyle w:val="ListParagraph"/>
              <w:numPr>
                <w:ilvl w:val="0"/>
                <w:numId w:val="14"/>
              </w:numPr>
              <w:tabs>
                <w:tab w:val="left" w:pos="1545"/>
              </w:tabs>
              <w:rPr>
                <w:rFonts w:ascii="Arial" w:hAnsi="Arial" w:cs="Arial"/>
                <w:i/>
                <w:iCs/>
                <w:sz w:val="20"/>
                <w:szCs w:val="20"/>
              </w:rPr>
            </w:pPr>
            <w:r w:rsidRPr="009F0CE0">
              <w:rPr>
                <w:rFonts w:ascii="Arial" w:hAnsi="Arial" w:cs="Arial"/>
                <w:i/>
                <w:iCs/>
                <w:sz w:val="20"/>
                <w:szCs w:val="20"/>
              </w:rPr>
              <w:t>Section 189B (initial duty owed to all eligible persons who are homeless)</w:t>
            </w:r>
          </w:p>
          <w:p w14:paraId="6D39EB59" w14:textId="2C3B78E4" w:rsidR="004816AA" w:rsidRPr="009F0CE0" w:rsidRDefault="004816AA" w:rsidP="001F1C10">
            <w:pPr>
              <w:pStyle w:val="ListParagraph"/>
              <w:numPr>
                <w:ilvl w:val="0"/>
                <w:numId w:val="14"/>
              </w:numPr>
              <w:tabs>
                <w:tab w:val="left" w:pos="1545"/>
              </w:tabs>
              <w:rPr>
                <w:rFonts w:ascii="Arial" w:hAnsi="Arial" w:cs="Arial"/>
                <w:i/>
                <w:iCs/>
                <w:sz w:val="20"/>
                <w:szCs w:val="20"/>
              </w:rPr>
            </w:pPr>
            <w:r w:rsidRPr="009F0CE0">
              <w:rPr>
                <w:rFonts w:ascii="Arial" w:hAnsi="Arial" w:cs="Arial"/>
                <w:i/>
                <w:iCs/>
                <w:sz w:val="20"/>
                <w:szCs w:val="20"/>
              </w:rPr>
              <w:t xml:space="preserve">Section 190, 193 or 195 (duties to persons found to be homeless or threatened with homelessness) </w:t>
            </w:r>
          </w:p>
          <w:p w14:paraId="08F600DE" w14:textId="05B87324" w:rsidR="006E086E" w:rsidRPr="009F0CE0" w:rsidRDefault="006E086E" w:rsidP="001F1C10">
            <w:pPr>
              <w:pStyle w:val="ListParagraph"/>
              <w:numPr>
                <w:ilvl w:val="0"/>
                <w:numId w:val="14"/>
              </w:numPr>
              <w:tabs>
                <w:tab w:val="left" w:pos="1545"/>
              </w:tabs>
              <w:rPr>
                <w:rFonts w:ascii="Arial" w:hAnsi="Arial" w:cs="Arial"/>
                <w:i/>
                <w:iCs/>
                <w:sz w:val="20"/>
                <w:szCs w:val="20"/>
              </w:rPr>
            </w:pPr>
            <w:r w:rsidRPr="009F0CE0">
              <w:rPr>
                <w:rFonts w:ascii="Arial" w:hAnsi="Arial" w:cs="Arial"/>
                <w:i/>
                <w:iCs/>
                <w:sz w:val="20"/>
                <w:szCs w:val="20"/>
              </w:rPr>
              <w:t>Section 200 (duties to applicant whose case is considered for referral or referred)</w:t>
            </w:r>
          </w:p>
          <w:p w14:paraId="54874790" w14:textId="0372D216" w:rsidR="00AA55BA" w:rsidRPr="009F0CE0" w:rsidRDefault="00AA55BA" w:rsidP="00AA55BA">
            <w:pPr>
              <w:tabs>
                <w:tab w:val="left" w:pos="1545"/>
              </w:tabs>
              <w:ind w:left="720"/>
              <w:rPr>
                <w:rFonts w:ascii="Arial" w:hAnsi="Arial" w:cs="Arial"/>
                <w:i/>
                <w:iCs/>
                <w:sz w:val="20"/>
                <w:szCs w:val="20"/>
              </w:rPr>
            </w:pPr>
          </w:p>
          <w:p w14:paraId="755E7044" w14:textId="14458681" w:rsidR="00AA55BA" w:rsidRPr="009F0CE0" w:rsidRDefault="00AA55BA" w:rsidP="00AA55BA">
            <w:pPr>
              <w:tabs>
                <w:tab w:val="left" w:pos="1545"/>
              </w:tabs>
              <w:ind w:left="720"/>
              <w:rPr>
                <w:rFonts w:ascii="Arial" w:hAnsi="Arial" w:cs="Arial"/>
                <w:i/>
                <w:iCs/>
                <w:sz w:val="20"/>
                <w:szCs w:val="20"/>
              </w:rPr>
            </w:pPr>
            <w:r w:rsidRPr="009F0CE0">
              <w:rPr>
                <w:rFonts w:ascii="Arial" w:hAnsi="Arial" w:cs="Arial"/>
                <w:i/>
                <w:iCs/>
                <w:sz w:val="20"/>
                <w:szCs w:val="20"/>
              </w:rPr>
              <w:t xml:space="preserve">Then, </w:t>
            </w:r>
            <w:r w:rsidR="00F154CC" w:rsidRPr="009F0CE0">
              <w:rPr>
                <w:rFonts w:ascii="Arial" w:hAnsi="Arial" w:cs="Arial"/>
                <w:i/>
                <w:iCs/>
                <w:sz w:val="20"/>
                <w:szCs w:val="20"/>
              </w:rPr>
              <w:t>whether</w:t>
            </w:r>
            <w:r w:rsidRPr="009F0CE0">
              <w:rPr>
                <w:rFonts w:ascii="Arial" w:hAnsi="Arial" w:cs="Arial"/>
                <w:i/>
                <w:iCs/>
                <w:sz w:val="20"/>
                <w:szCs w:val="20"/>
              </w:rPr>
              <w:t xml:space="preserve"> they are still subject to such duty, they shall take reasonable steps to prevent the loss of the property or prevent or mitigate damage to it.</w:t>
            </w:r>
          </w:p>
          <w:p w14:paraId="11984C19" w14:textId="77777777" w:rsidR="00AA55BA" w:rsidRPr="009F0CE0" w:rsidRDefault="00AA55BA" w:rsidP="004C5DC9">
            <w:pPr>
              <w:tabs>
                <w:tab w:val="left" w:pos="1545"/>
              </w:tabs>
              <w:rPr>
                <w:rFonts w:ascii="Arial" w:hAnsi="Arial" w:cs="Arial"/>
                <w:i/>
                <w:iCs/>
                <w:sz w:val="20"/>
                <w:szCs w:val="20"/>
              </w:rPr>
            </w:pPr>
          </w:p>
          <w:p w14:paraId="3B47F116" w14:textId="06AB7051" w:rsidR="00921EDD" w:rsidRPr="009F0CE0" w:rsidRDefault="00921EDD" w:rsidP="00921EDD">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 xml:space="preserve">If they have not become subject to such duty, they </w:t>
            </w:r>
            <w:r w:rsidRPr="009F0CE0">
              <w:rPr>
                <w:rFonts w:ascii="Arial" w:hAnsi="Arial" w:cs="Arial"/>
                <w:i/>
                <w:iCs/>
                <w:color w:val="000000"/>
                <w:sz w:val="20"/>
                <w:szCs w:val="20"/>
                <w:shd w:val="clear" w:color="auto" w:fill="FFFFFF"/>
              </w:rPr>
              <w:t>may take any steps they consider reasonable for that purpose</w:t>
            </w:r>
            <w:r w:rsidRPr="009F0CE0">
              <w:rPr>
                <w:rFonts w:ascii="Arial" w:hAnsi="Arial" w:cs="Arial"/>
                <w:i/>
                <w:iCs/>
                <w:sz w:val="20"/>
                <w:szCs w:val="20"/>
              </w:rPr>
              <w:t>.</w:t>
            </w:r>
          </w:p>
          <w:p w14:paraId="7FCB8E87" w14:textId="64258F19" w:rsidR="00921EDD" w:rsidRPr="009F0CE0" w:rsidRDefault="00921EDD" w:rsidP="00921EDD">
            <w:pPr>
              <w:pStyle w:val="ListParagraph"/>
              <w:tabs>
                <w:tab w:val="left" w:pos="1545"/>
              </w:tabs>
              <w:rPr>
                <w:rFonts w:ascii="Arial" w:hAnsi="Arial" w:cs="Arial"/>
                <w:i/>
                <w:iCs/>
                <w:sz w:val="20"/>
                <w:szCs w:val="20"/>
              </w:rPr>
            </w:pPr>
          </w:p>
          <w:p w14:paraId="702AFA5B" w14:textId="3F2C6591" w:rsidR="00921EDD" w:rsidRPr="009F0CE0" w:rsidRDefault="00921EDD" w:rsidP="00921EDD">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 xml:space="preserve">The </w:t>
            </w:r>
            <w:r w:rsidR="008A04B8" w:rsidRPr="009F0CE0">
              <w:rPr>
                <w:rFonts w:ascii="Arial" w:hAnsi="Arial" w:cs="Arial"/>
                <w:i/>
                <w:iCs/>
                <w:color w:val="000000"/>
                <w:sz w:val="20"/>
                <w:szCs w:val="20"/>
                <w:shd w:val="clear" w:color="auto" w:fill="FFFFFF"/>
              </w:rPr>
              <w:t>authority may decline to take action under this section except upon such conditions as they consider appropriate in the particular case, which may include conditions as to</w:t>
            </w:r>
            <w:r w:rsidR="008A04B8" w:rsidRPr="009F0CE0">
              <w:rPr>
                <w:rFonts w:ascii="Arial" w:hAnsi="Arial" w:cs="Arial"/>
                <w:i/>
                <w:iCs/>
                <w:sz w:val="20"/>
                <w:szCs w:val="20"/>
              </w:rPr>
              <w:t>:</w:t>
            </w:r>
          </w:p>
          <w:p w14:paraId="3932F785" w14:textId="77777777" w:rsidR="008A04B8" w:rsidRPr="009F0CE0" w:rsidRDefault="008A04B8" w:rsidP="008A04B8">
            <w:pPr>
              <w:pStyle w:val="ListParagraph"/>
              <w:rPr>
                <w:rFonts w:ascii="Arial" w:hAnsi="Arial" w:cs="Arial"/>
                <w:i/>
                <w:iCs/>
                <w:sz w:val="20"/>
                <w:szCs w:val="20"/>
              </w:rPr>
            </w:pPr>
          </w:p>
          <w:p w14:paraId="36D23473" w14:textId="28911819" w:rsidR="008A04B8" w:rsidRPr="009F0CE0" w:rsidRDefault="008A04B8" w:rsidP="008A04B8">
            <w:pPr>
              <w:pStyle w:val="ListParagraph"/>
              <w:numPr>
                <w:ilvl w:val="0"/>
                <w:numId w:val="15"/>
              </w:numPr>
              <w:tabs>
                <w:tab w:val="left" w:pos="1545"/>
              </w:tabs>
              <w:rPr>
                <w:rFonts w:ascii="Arial" w:hAnsi="Arial" w:cs="Arial"/>
                <w:i/>
                <w:iCs/>
                <w:sz w:val="20"/>
                <w:szCs w:val="20"/>
              </w:rPr>
            </w:pPr>
            <w:r w:rsidRPr="009F0CE0">
              <w:rPr>
                <w:rFonts w:ascii="Arial" w:hAnsi="Arial" w:cs="Arial"/>
                <w:i/>
                <w:iCs/>
                <w:sz w:val="20"/>
                <w:szCs w:val="20"/>
              </w:rPr>
              <w:t>The making and recovery by the authority of reasonable charges for the action taken, or</w:t>
            </w:r>
          </w:p>
          <w:p w14:paraId="455D3713" w14:textId="45DEB608" w:rsidR="008A04B8" w:rsidRPr="009F0CE0" w:rsidRDefault="008A04B8" w:rsidP="008A04B8">
            <w:pPr>
              <w:pStyle w:val="ListParagraph"/>
              <w:numPr>
                <w:ilvl w:val="0"/>
                <w:numId w:val="15"/>
              </w:numPr>
              <w:tabs>
                <w:tab w:val="left" w:pos="1545"/>
              </w:tabs>
              <w:rPr>
                <w:rFonts w:ascii="Arial" w:hAnsi="Arial" w:cs="Arial"/>
                <w:i/>
                <w:iCs/>
                <w:sz w:val="20"/>
                <w:szCs w:val="20"/>
              </w:rPr>
            </w:pPr>
            <w:r w:rsidRPr="009F0CE0">
              <w:rPr>
                <w:rFonts w:ascii="Arial" w:hAnsi="Arial" w:cs="Arial"/>
                <w:i/>
                <w:iCs/>
                <w:sz w:val="20"/>
                <w:szCs w:val="20"/>
              </w:rPr>
              <w:t>The disposal by the authorise, in such circumstances as may be specific, of property in relation to which they have taken action.</w:t>
            </w:r>
          </w:p>
          <w:p w14:paraId="14BFF029" w14:textId="77777777" w:rsidR="008A04B8" w:rsidRPr="009F0CE0" w:rsidRDefault="008A04B8" w:rsidP="008A04B8">
            <w:pPr>
              <w:tabs>
                <w:tab w:val="left" w:pos="1545"/>
              </w:tabs>
              <w:rPr>
                <w:rFonts w:ascii="Arial" w:hAnsi="Arial" w:cs="Arial"/>
                <w:i/>
                <w:iCs/>
                <w:sz w:val="20"/>
                <w:szCs w:val="20"/>
              </w:rPr>
            </w:pPr>
          </w:p>
          <w:p w14:paraId="1E31D609" w14:textId="2A2256B0" w:rsidR="008A04B8" w:rsidRPr="009F0CE0" w:rsidRDefault="00900828" w:rsidP="008A04B8">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 xml:space="preserve">References </w:t>
            </w:r>
            <w:r w:rsidRPr="009F0CE0">
              <w:rPr>
                <w:rFonts w:ascii="Arial" w:hAnsi="Arial" w:cs="Arial"/>
                <w:i/>
                <w:iCs/>
                <w:color w:val="000000"/>
                <w:sz w:val="20"/>
                <w:szCs w:val="20"/>
                <w:shd w:val="clear" w:color="auto" w:fill="FFFFFF"/>
              </w:rPr>
              <w:t>in this section to personal property of the applicant include personal property of any person who might reasonably be expected to reside with him</w:t>
            </w:r>
            <w:r w:rsidRPr="009F0CE0">
              <w:rPr>
                <w:rFonts w:ascii="Arial" w:hAnsi="Arial" w:cs="Arial"/>
                <w:i/>
                <w:iCs/>
                <w:sz w:val="20"/>
                <w:szCs w:val="20"/>
              </w:rPr>
              <w:t>.</w:t>
            </w:r>
          </w:p>
          <w:p w14:paraId="18EBD96F" w14:textId="720AE782" w:rsidR="00900828" w:rsidRPr="009F0CE0" w:rsidRDefault="00900828" w:rsidP="00900828">
            <w:pPr>
              <w:pStyle w:val="ListParagraph"/>
              <w:tabs>
                <w:tab w:val="left" w:pos="1545"/>
              </w:tabs>
              <w:rPr>
                <w:rFonts w:ascii="Arial" w:hAnsi="Arial" w:cs="Arial"/>
                <w:i/>
                <w:iCs/>
                <w:sz w:val="20"/>
                <w:szCs w:val="20"/>
              </w:rPr>
            </w:pPr>
          </w:p>
          <w:p w14:paraId="3E865CB0" w14:textId="65F79C83" w:rsidR="00900828" w:rsidRPr="009F0CE0" w:rsidRDefault="00900828" w:rsidP="008A04B8">
            <w:pPr>
              <w:pStyle w:val="ListParagraph"/>
              <w:numPr>
                <w:ilvl w:val="0"/>
                <w:numId w:val="12"/>
              </w:numPr>
              <w:tabs>
                <w:tab w:val="left" w:pos="1545"/>
              </w:tabs>
              <w:rPr>
                <w:rFonts w:ascii="Arial" w:hAnsi="Arial" w:cs="Arial"/>
                <w:i/>
                <w:iCs/>
                <w:sz w:val="20"/>
                <w:szCs w:val="20"/>
              </w:rPr>
            </w:pPr>
            <w:r w:rsidRPr="009F0CE0">
              <w:rPr>
                <w:rFonts w:ascii="Arial" w:hAnsi="Arial" w:cs="Arial"/>
                <w:i/>
                <w:iCs/>
                <w:sz w:val="20"/>
                <w:szCs w:val="20"/>
              </w:rPr>
              <w:t xml:space="preserve">Section 212 contains provisions supplementing this section. </w:t>
            </w:r>
          </w:p>
          <w:p w14:paraId="663D2DE0" w14:textId="77777777" w:rsidR="001F1C10" w:rsidRPr="00043E3A" w:rsidRDefault="001F1C10" w:rsidP="00AB2AD0">
            <w:pPr>
              <w:tabs>
                <w:tab w:val="left" w:pos="1545"/>
              </w:tabs>
              <w:rPr>
                <w:rFonts w:ascii="Arial" w:hAnsi="Arial" w:cs="Arial"/>
                <w:i/>
                <w:iCs/>
              </w:rPr>
            </w:pPr>
          </w:p>
          <w:p w14:paraId="61419FEA" w14:textId="763DCCE0" w:rsidR="00AB2AD0" w:rsidRPr="009F0CE0" w:rsidRDefault="00AB2AD0" w:rsidP="00AB2AD0">
            <w:pPr>
              <w:tabs>
                <w:tab w:val="left" w:pos="1545"/>
              </w:tabs>
              <w:rPr>
                <w:rFonts w:ascii="Arial" w:hAnsi="Arial" w:cs="Arial"/>
                <w:i/>
                <w:iCs/>
                <w:sz w:val="20"/>
                <w:szCs w:val="20"/>
                <w:u w:val="single"/>
              </w:rPr>
            </w:pPr>
            <w:r w:rsidRPr="009F0CE0">
              <w:rPr>
                <w:rFonts w:ascii="Arial" w:hAnsi="Arial" w:cs="Arial"/>
                <w:i/>
                <w:iCs/>
                <w:sz w:val="20"/>
                <w:szCs w:val="20"/>
                <w:u w:val="single"/>
              </w:rPr>
              <w:t xml:space="preserve">Section 212 – Protection of property: Supplementary provisions. </w:t>
            </w:r>
          </w:p>
          <w:p w14:paraId="0F36329F" w14:textId="77777777" w:rsidR="00AB2AD0" w:rsidRPr="009F0CE0" w:rsidRDefault="00AB2AD0" w:rsidP="00AB2AD0">
            <w:pPr>
              <w:tabs>
                <w:tab w:val="left" w:pos="1545"/>
              </w:tabs>
              <w:rPr>
                <w:rFonts w:ascii="Arial" w:hAnsi="Arial" w:cs="Arial"/>
                <w:i/>
                <w:iCs/>
                <w:sz w:val="20"/>
                <w:szCs w:val="20"/>
                <w:u w:val="single"/>
              </w:rPr>
            </w:pPr>
          </w:p>
          <w:p w14:paraId="3427C502" w14:textId="7AD9B657" w:rsidR="00AE0111" w:rsidRPr="009F0CE0" w:rsidRDefault="00AB2AD0" w:rsidP="00AE0111">
            <w:pPr>
              <w:pStyle w:val="ListParagraph"/>
              <w:numPr>
                <w:ilvl w:val="0"/>
                <w:numId w:val="16"/>
              </w:numPr>
              <w:tabs>
                <w:tab w:val="left" w:pos="1545"/>
              </w:tabs>
              <w:rPr>
                <w:rFonts w:ascii="Arial" w:hAnsi="Arial" w:cs="Arial"/>
                <w:i/>
                <w:iCs/>
                <w:sz w:val="20"/>
                <w:szCs w:val="20"/>
              </w:rPr>
            </w:pPr>
            <w:r w:rsidRPr="009F0CE0">
              <w:rPr>
                <w:rFonts w:ascii="Arial" w:hAnsi="Arial" w:cs="Arial"/>
                <w:i/>
                <w:iCs/>
                <w:sz w:val="20"/>
                <w:szCs w:val="20"/>
              </w:rPr>
              <w:t xml:space="preserve">The authority may have </w:t>
            </w:r>
            <w:r w:rsidR="00043E3A" w:rsidRPr="009F0CE0">
              <w:rPr>
                <w:rFonts w:ascii="Arial" w:hAnsi="Arial" w:cs="Arial"/>
                <w:color w:val="000000"/>
                <w:sz w:val="20"/>
                <w:szCs w:val="20"/>
                <w:shd w:val="clear" w:color="auto" w:fill="FFFFFF"/>
              </w:rPr>
              <w:t>may for the purposes of section 211 (protection of property of homeless persons or persons threatened with homelessness)</w:t>
            </w:r>
            <w:r w:rsidR="00043E3A" w:rsidRPr="009F0CE0">
              <w:rPr>
                <w:rFonts w:ascii="Arial" w:hAnsi="Arial" w:cs="Arial"/>
                <w:i/>
                <w:iCs/>
                <w:sz w:val="20"/>
                <w:szCs w:val="20"/>
              </w:rPr>
              <w:t>:</w:t>
            </w:r>
          </w:p>
          <w:p w14:paraId="23638C71" w14:textId="77777777" w:rsidR="00AE0111" w:rsidRPr="009F0CE0" w:rsidRDefault="00AE0111" w:rsidP="00AE0111">
            <w:pPr>
              <w:pStyle w:val="ListParagraph"/>
              <w:tabs>
                <w:tab w:val="left" w:pos="1545"/>
              </w:tabs>
              <w:rPr>
                <w:rFonts w:ascii="Arial" w:hAnsi="Arial" w:cs="Arial"/>
                <w:i/>
                <w:iCs/>
                <w:sz w:val="20"/>
                <w:szCs w:val="20"/>
              </w:rPr>
            </w:pPr>
          </w:p>
          <w:p w14:paraId="4BC09C76" w14:textId="16819B95" w:rsidR="00AE0111" w:rsidRPr="009F0CE0" w:rsidRDefault="00AE0111" w:rsidP="00AE0111">
            <w:pPr>
              <w:pStyle w:val="ListParagraph"/>
              <w:numPr>
                <w:ilvl w:val="0"/>
                <w:numId w:val="19"/>
              </w:numPr>
              <w:tabs>
                <w:tab w:val="left" w:pos="1545"/>
              </w:tabs>
              <w:rPr>
                <w:rFonts w:ascii="Arial" w:hAnsi="Arial" w:cs="Arial"/>
                <w:i/>
                <w:iCs/>
                <w:sz w:val="20"/>
                <w:szCs w:val="20"/>
              </w:rPr>
            </w:pPr>
            <w:r w:rsidRPr="009F0CE0">
              <w:rPr>
                <w:rFonts w:ascii="Arial" w:hAnsi="Arial" w:cs="Arial"/>
                <w:i/>
                <w:iCs/>
                <w:sz w:val="20"/>
                <w:szCs w:val="20"/>
              </w:rPr>
              <w:t xml:space="preserve">Enter, </w:t>
            </w:r>
            <w:r w:rsidR="009730DF" w:rsidRPr="009F0CE0">
              <w:rPr>
                <w:rFonts w:ascii="Arial" w:hAnsi="Arial" w:cs="Arial"/>
                <w:i/>
                <w:iCs/>
                <w:color w:val="000000"/>
                <w:sz w:val="20"/>
                <w:szCs w:val="20"/>
                <w:shd w:val="clear" w:color="auto" w:fill="FFFFFF"/>
              </w:rPr>
              <w:t>at all reasonable times, any premises which are the usual place of residence of the applicant or which were his last usual place of residence</w:t>
            </w:r>
            <w:r w:rsidR="009730DF" w:rsidRPr="009F0CE0">
              <w:rPr>
                <w:rFonts w:ascii="Arial" w:hAnsi="Arial" w:cs="Arial"/>
                <w:i/>
                <w:iCs/>
                <w:sz w:val="20"/>
                <w:szCs w:val="20"/>
              </w:rPr>
              <w:t>, and</w:t>
            </w:r>
          </w:p>
          <w:p w14:paraId="730A8742" w14:textId="1F671FBD" w:rsidR="009730DF" w:rsidRPr="009F0CE0" w:rsidRDefault="009730DF" w:rsidP="00AE0111">
            <w:pPr>
              <w:pStyle w:val="ListParagraph"/>
              <w:numPr>
                <w:ilvl w:val="0"/>
                <w:numId w:val="19"/>
              </w:numPr>
              <w:tabs>
                <w:tab w:val="left" w:pos="1545"/>
              </w:tabs>
              <w:rPr>
                <w:rFonts w:ascii="Arial" w:hAnsi="Arial" w:cs="Arial"/>
                <w:i/>
                <w:iCs/>
                <w:sz w:val="20"/>
                <w:szCs w:val="20"/>
              </w:rPr>
            </w:pPr>
            <w:r w:rsidRPr="009F0CE0">
              <w:rPr>
                <w:rFonts w:ascii="Arial" w:hAnsi="Arial" w:cs="Arial"/>
                <w:i/>
                <w:iCs/>
                <w:sz w:val="20"/>
                <w:szCs w:val="20"/>
              </w:rPr>
              <w:t xml:space="preserve">Deal </w:t>
            </w:r>
            <w:r w:rsidRPr="009F0CE0">
              <w:rPr>
                <w:rFonts w:ascii="Arial" w:hAnsi="Arial" w:cs="Arial"/>
                <w:i/>
                <w:iCs/>
                <w:color w:val="000000"/>
                <w:sz w:val="20"/>
                <w:szCs w:val="20"/>
                <w:shd w:val="clear" w:color="auto" w:fill="FFFFFF"/>
              </w:rPr>
              <w:t>with any personal property of his in any way which is reasonably necessary, in particular by storing it or arranging for its storage</w:t>
            </w:r>
            <w:r w:rsidRPr="009F0CE0">
              <w:rPr>
                <w:rFonts w:ascii="Arial" w:hAnsi="Arial" w:cs="Arial"/>
                <w:i/>
                <w:iCs/>
                <w:sz w:val="20"/>
                <w:szCs w:val="20"/>
              </w:rPr>
              <w:t>.</w:t>
            </w:r>
          </w:p>
          <w:p w14:paraId="7B518E1D" w14:textId="77777777" w:rsidR="009730DF" w:rsidRPr="009F0CE0" w:rsidRDefault="009730DF" w:rsidP="009730DF">
            <w:pPr>
              <w:tabs>
                <w:tab w:val="left" w:pos="1545"/>
              </w:tabs>
              <w:rPr>
                <w:rFonts w:ascii="Arial" w:hAnsi="Arial" w:cs="Arial"/>
                <w:i/>
                <w:iCs/>
                <w:sz w:val="20"/>
                <w:szCs w:val="20"/>
              </w:rPr>
            </w:pPr>
          </w:p>
          <w:p w14:paraId="0E4136B6" w14:textId="77EFBF53" w:rsidR="0041772E" w:rsidRPr="009F0CE0" w:rsidRDefault="009730DF" w:rsidP="0041772E">
            <w:pPr>
              <w:pStyle w:val="ListParagraph"/>
              <w:numPr>
                <w:ilvl w:val="0"/>
                <w:numId w:val="16"/>
              </w:numPr>
              <w:tabs>
                <w:tab w:val="left" w:pos="1545"/>
              </w:tabs>
              <w:rPr>
                <w:rFonts w:ascii="Arial" w:hAnsi="Arial" w:cs="Arial"/>
                <w:i/>
                <w:iCs/>
                <w:sz w:val="20"/>
                <w:szCs w:val="20"/>
              </w:rPr>
            </w:pPr>
            <w:r w:rsidRPr="009F0CE0">
              <w:rPr>
                <w:rFonts w:ascii="Arial" w:hAnsi="Arial" w:cs="Arial"/>
                <w:i/>
                <w:iCs/>
                <w:sz w:val="20"/>
                <w:szCs w:val="20"/>
              </w:rPr>
              <w:t xml:space="preserve">Where </w:t>
            </w:r>
            <w:r w:rsidR="0041772E" w:rsidRPr="009F0CE0">
              <w:rPr>
                <w:rFonts w:ascii="Arial" w:hAnsi="Arial" w:cs="Arial"/>
                <w:i/>
                <w:iCs/>
                <w:color w:val="000000"/>
                <w:sz w:val="20"/>
                <w:szCs w:val="20"/>
                <w:shd w:val="clear" w:color="auto" w:fill="FFFFFF"/>
              </w:rPr>
              <w:t>the applicant asks the authority to move his property to a particular location nominated by him, the authority:</w:t>
            </w:r>
          </w:p>
          <w:p w14:paraId="76B4BF54" w14:textId="77777777" w:rsidR="0041772E" w:rsidRPr="009F0CE0" w:rsidRDefault="0041772E" w:rsidP="0041772E">
            <w:pPr>
              <w:pStyle w:val="ListParagraph"/>
              <w:tabs>
                <w:tab w:val="left" w:pos="1545"/>
              </w:tabs>
              <w:rPr>
                <w:rFonts w:ascii="Arial" w:hAnsi="Arial" w:cs="Arial"/>
                <w:i/>
                <w:iCs/>
                <w:sz w:val="20"/>
                <w:szCs w:val="20"/>
              </w:rPr>
            </w:pPr>
          </w:p>
          <w:p w14:paraId="6415F460" w14:textId="1AB5116A" w:rsidR="0041772E" w:rsidRPr="009F0CE0" w:rsidRDefault="0041772E" w:rsidP="0041772E">
            <w:pPr>
              <w:pStyle w:val="ListParagraph"/>
              <w:numPr>
                <w:ilvl w:val="0"/>
                <w:numId w:val="20"/>
              </w:numPr>
              <w:tabs>
                <w:tab w:val="left" w:pos="1545"/>
              </w:tabs>
              <w:rPr>
                <w:rFonts w:ascii="Arial" w:hAnsi="Arial" w:cs="Arial"/>
                <w:i/>
                <w:iCs/>
                <w:sz w:val="20"/>
                <w:szCs w:val="20"/>
              </w:rPr>
            </w:pPr>
            <w:r w:rsidRPr="009F0CE0">
              <w:rPr>
                <w:rFonts w:ascii="Arial" w:hAnsi="Arial" w:cs="Arial"/>
                <w:i/>
                <w:iCs/>
                <w:sz w:val="20"/>
                <w:szCs w:val="20"/>
              </w:rPr>
              <w:t>May,</w:t>
            </w:r>
            <w:r w:rsidR="005217B0" w:rsidRPr="009F0CE0">
              <w:rPr>
                <w:rFonts w:ascii="Arial" w:hAnsi="Arial" w:cs="Arial"/>
                <w:i/>
                <w:iCs/>
                <w:color w:val="000000"/>
                <w:sz w:val="20"/>
                <w:szCs w:val="20"/>
                <w:shd w:val="clear" w:color="auto" w:fill="FFFFFF"/>
              </w:rPr>
              <w:t> if it appears to them that his request is reasonable, discharge their responsibilities under section 211 by doing as he asks, and</w:t>
            </w:r>
          </w:p>
          <w:p w14:paraId="5FACAA5D" w14:textId="7A9BFBEE" w:rsidR="0041772E" w:rsidRPr="009F0CE0" w:rsidRDefault="0041772E" w:rsidP="0041772E">
            <w:pPr>
              <w:pStyle w:val="ListParagraph"/>
              <w:numPr>
                <w:ilvl w:val="0"/>
                <w:numId w:val="20"/>
              </w:numPr>
              <w:tabs>
                <w:tab w:val="left" w:pos="1545"/>
              </w:tabs>
              <w:rPr>
                <w:rFonts w:ascii="Arial" w:hAnsi="Arial" w:cs="Arial"/>
                <w:i/>
                <w:iCs/>
                <w:sz w:val="20"/>
                <w:szCs w:val="20"/>
              </w:rPr>
            </w:pPr>
            <w:r w:rsidRPr="009F0CE0">
              <w:rPr>
                <w:rFonts w:ascii="Arial" w:hAnsi="Arial" w:cs="Arial"/>
                <w:i/>
                <w:iCs/>
                <w:sz w:val="20"/>
                <w:szCs w:val="20"/>
              </w:rPr>
              <w:t xml:space="preserve">Having </w:t>
            </w:r>
            <w:r w:rsidR="005217B0" w:rsidRPr="009F0CE0">
              <w:rPr>
                <w:rFonts w:ascii="Arial" w:hAnsi="Arial" w:cs="Arial"/>
                <w:i/>
                <w:iCs/>
                <w:color w:val="000000"/>
                <w:sz w:val="20"/>
                <w:szCs w:val="20"/>
                <w:shd w:val="clear" w:color="auto" w:fill="FFFFFF"/>
              </w:rPr>
              <w:t>done so, have no further duty or power to take action under that section in relation to that property.</w:t>
            </w:r>
          </w:p>
          <w:p w14:paraId="36317532" w14:textId="77777777" w:rsidR="005217B0" w:rsidRPr="009F0CE0" w:rsidRDefault="005217B0" w:rsidP="005217B0">
            <w:pPr>
              <w:tabs>
                <w:tab w:val="left" w:pos="1545"/>
              </w:tabs>
              <w:ind w:left="720"/>
              <w:rPr>
                <w:rFonts w:ascii="Arial" w:hAnsi="Arial" w:cs="Arial"/>
                <w:i/>
                <w:iCs/>
                <w:sz w:val="20"/>
                <w:szCs w:val="20"/>
              </w:rPr>
            </w:pPr>
          </w:p>
          <w:p w14:paraId="1DBD68C2" w14:textId="05691DFA" w:rsidR="005217B0" w:rsidRPr="009F0CE0" w:rsidRDefault="005217B0" w:rsidP="005217B0">
            <w:pPr>
              <w:tabs>
                <w:tab w:val="left" w:pos="1545"/>
              </w:tabs>
              <w:ind w:left="720"/>
              <w:rPr>
                <w:rFonts w:ascii="Arial" w:hAnsi="Arial" w:cs="Arial"/>
                <w:i/>
                <w:iCs/>
                <w:sz w:val="20"/>
                <w:szCs w:val="20"/>
              </w:rPr>
            </w:pPr>
            <w:r w:rsidRPr="009F0CE0">
              <w:rPr>
                <w:rFonts w:ascii="Arial" w:hAnsi="Arial" w:cs="Arial"/>
                <w:i/>
                <w:iCs/>
                <w:sz w:val="20"/>
                <w:szCs w:val="20"/>
              </w:rPr>
              <w:t xml:space="preserve">If such a request is made, </w:t>
            </w:r>
            <w:r w:rsidR="006F6BEF" w:rsidRPr="009F0CE0">
              <w:rPr>
                <w:rFonts w:ascii="Arial" w:hAnsi="Arial" w:cs="Arial"/>
                <w:i/>
                <w:iCs/>
                <w:sz w:val="20"/>
                <w:szCs w:val="20"/>
              </w:rPr>
              <w:t xml:space="preserve">the authority shall before complying </w:t>
            </w:r>
            <w:r w:rsidR="006F6BEF" w:rsidRPr="009F0CE0">
              <w:rPr>
                <w:rFonts w:ascii="Arial" w:hAnsi="Arial" w:cs="Arial"/>
                <w:i/>
                <w:iCs/>
                <w:color w:val="000000"/>
                <w:sz w:val="20"/>
                <w:szCs w:val="20"/>
                <w:shd w:val="clear" w:color="auto" w:fill="FFFFFF"/>
              </w:rPr>
              <w:t xml:space="preserve">with it inform the applicant of the </w:t>
            </w:r>
            <w:r w:rsidR="006F6BEF" w:rsidRPr="009F0CE0">
              <w:rPr>
                <w:rFonts w:ascii="Arial" w:hAnsi="Arial" w:cs="Arial"/>
                <w:i/>
                <w:iCs/>
                <w:color w:val="000000"/>
                <w:sz w:val="20"/>
                <w:szCs w:val="20"/>
                <w:shd w:val="clear" w:color="auto" w:fill="FFFFFF"/>
              </w:rPr>
              <w:lastRenderedPageBreak/>
              <w:t>consequence of their doing so</w:t>
            </w:r>
            <w:r w:rsidR="006F6BEF" w:rsidRPr="009F0CE0">
              <w:rPr>
                <w:rFonts w:ascii="Arial" w:hAnsi="Arial" w:cs="Arial"/>
                <w:i/>
                <w:iCs/>
                <w:sz w:val="20"/>
                <w:szCs w:val="20"/>
              </w:rPr>
              <w:t>.</w:t>
            </w:r>
          </w:p>
          <w:p w14:paraId="6AD2566C" w14:textId="77777777" w:rsidR="005217B0" w:rsidRPr="001B3C70" w:rsidRDefault="005217B0" w:rsidP="005217B0">
            <w:pPr>
              <w:tabs>
                <w:tab w:val="left" w:pos="1545"/>
              </w:tabs>
              <w:rPr>
                <w:rFonts w:ascii="Arial" w:hAnsi="Arial" w:cs="Arial"/>
                <w:i/>
                <w:iCs/>
              </w:rPr>
            </w:pPr>
          </w:p>
          <w:p w14:paraId="446EB9C5" w14:textId="6D855235" w:rsidR="001B3C70" w:rsidRPr="009F0CE0" w:rsidRDefault="001B3C70" w:rsidP="001B3C70">
            <w:pPr>
              <w:pStyle w:val="legclearfix"/>
              <w:numPr>
                <w:ilvl w:val="0"/>
                <w:numId w:val="16"/>
              </w:numPr>
              <w:shd w:val="clear" w:color="auto" w:fill="FFFFFF"/>
              <w:spacing w:before="0" w:beforeAutospacing="0" w:after="120" w:afterAutospacing="0" w:line="360" w:lineRule="atLeast"/>
              <w:rPr>
                <w:rStyle w:val="legds"/>
                <w:rFonts w:ascii="Arial" w:hAnsi="Arial" w:cs="Arial"/>
                <w:i/>
                <w:iCs/>
                <w:color w:val="000000"/>
                <w:sz w:val="20"/>
                <w:szCs w:val="20"/>
              </w:rPr>
            </w:pPr>
            <w:r w:rsidRPr="009F0CE0">
              <w:rPr>
                <w:rFonts w:ascii="Arial" w:hAnsi="Arial" w:cs="Arial"/>
                <w:i/>
                <w:iCs/>
                <w:sz w:val="20"/>
                <w:szCs w:val="20"/>
              </w:rPr>
              <w:t xml:space="preserve">If no such </w:t>
            </w:r>
            <w:r w:rsidRPr="009F0CE0">
              <w:rPr>
                <w:rStyle w:val="legds"/>
                <w:rFonts w:ascii="Arial" w:hAnsi="Arial" w:cs="Arial"/>
                <w:i/>
                <w:iCs/>
                <w:color w:val="000000"/>
                <w:sz w:val="20"/>
                <w:szCs w:val="20"/>
              </w:rPr>
              <w:t>request is made (or, if made, is not acted upon) the authority cease to have any duty or power to take action under section 211 when, in their opinion, there is no longer any reason to believe that there is a danger of loss of or damage to a person’s personal property by reason of his inability to protect it or deal with it.</w:t>
            </w:r>
          </w:p>
          <w:p w14:paraId="17AA5879" w14:textId="3A35FE6F" w:rsidR="001B3C70" w:rsidRPr="009F0CE0" w:rsidRDefault="001B3C70" w:rsidP="001B3C70">
            <w:pPr>
              <w:pStyle w:val="legclearfix"/>
              <w:shd w:val="clear" w:color="auto" w:fill="FFFFFF"/>
              <w:spacing w:before="0" w:beforeAutospacing="0" w:after="120" w:afterAutospacing="0" w:line="360" w:lineRule="atLeast"/>
              <w:ind w:left="720"/>
              <w:rPr>
                <w:rFonts w:ascii="Arial" w:hAnsi="Arial" w:cs="Arial"/>
                <w:i/>
                <w:iCs/>
                <w:color w:val="000000"/>
                <w:sz w:val="20"/>
                <w:szCs w:val="20"/>
              </w:rPr>
            </w:pPr>
            <w:r w:rsidRPr="009F0CE0">
              <w:rPr>
                <w:rFonts w:ascii="Arial" w:hAnsi="Arial" w:cs="Arial"/>
                <w:i/>
                <w:iCs/>
                <w:color w:val="000000"/>
                <w:sz w:val="20"/>
                <w:szCs w:val="20"/>
              </w:rPr>
              <w:t>But property stored by virtue of their having taken such action may be kept in store and any conditions upon which it was taken into store continue to have effect, with any necessary modifications.</w:t>
            </w:r>
          </w:p>
          <w:p w14:paraId="00A1D360" w14:textId="5C2E262C" w:rsidR="005217B0" w:rsidRPr="009F0CE0" w:rsidRDefault="001B3C70" w:rsidP="005217B0">
            <w:pPr>
              <w:pStyle w:val="ListParagraph"/>
              <w:numPr>
                <w:ilvl w:val="0"/>
                <w:numId w:val="16"/>
              </w:numPr>
              <w:tabs>
                <w:tab w:val="left" w:pos="1545"/>
              </w:tabs>
              <w:rPr>
                <w:rFonts w:ascii="Arial" w:hAnsi="Arial" w:cs="Arial"/>
                <w:i/>
                <w:iCs/>
                <w:sz w:val="20"/>
                <w:szCs w:val="20"/>
              </w:rPr>
            </w:pPr>
            <w:r w:rsidRPr="009F0CE0">
              <w:rPr>
                <w:rFonts w:ascii="Arial" w:hAnsi="Arial" w:cs="Arial"/>
                <w:i/>
                <w:iCs/>
                <w:sz w:val="20"/>
                <w:szCs w:val="20"/>
              </w:rPr>
              <w:t xml:space="preserve">Where the authority: </w:t>
            </w:r>
          </w:p>
          <w:p w14:paraId="5A64B22F" w14:textId="77777777" w:rsidR="001B3C70" w:rsidRPr="009F0CE0" w:rsidRDefault="001B3C70" w:rsidP="001B3C70">
            <w:pPr>
              <w:pStyle w:val="ListParagraph"/>
              <w:tabs>
                <w:tab w:val="left" w:pos="1545"/>
              </w:tabs>
              <w:rPr>
                <w:rFonts w:ascii="Arial" w:hAnsi="Arial" w:cs="Arial"/>
                <w:i/>
                <w:iCs/>
                <w:sz w:val="20"/>
                <w:szCs w:val="20"/>
              </w:rPr>
            </w:pPr>
          </w:p>
          <w:p w14:paraId="2434A652" w14:textId="2C68317A" w:rsidR="001B3C70" w:rsidRPr="009F0CE0" w:rsidRDefault="001B3C70" w:rsidP="001B3C70">
            <w:pPr>
              <w:pStyle w:val="ListParagraph"/>
              <w:numPr>
                <w:ilvl w:val="0"/>
                <w:numId w:val="21"/>
              </w:numPr>
              <w:tabs>
                <w:tab w:val="left" w:pos="1545"/>
              </w:tabs>
              <w:rPr>
                <w:rFonts w:ascii="Arial" w:hAnsi="Arial" w:cs="Arial"/>
                <w:i/>
                <w:iCs/>
                <w:sz w:val="20"/>
                <w:szCs w:val="20"/>
              </w:rPr>
            </w:pPr>
            <w:r w:rsidRPr="009F0CE0">
              <w:rPr>
                <w:rFonts w:ascii="Arial" w:hAnsi="Arial" w:cs="Arial"/>
                <w:i/>
                <w:iCs/>
                <w:sz w:val="20"/>
                <w:szCs w:val="20"/>
              </w:rPr>
              <w:t xml:space="preserve">Cease to </w:t>
            </w:r>
            <w:r w:rsidR="003E46D5" w:rsidRPr="009F0CE0">
              <w:rPr>
                <w:rFonts w:ascii="Arial" w:hAnsi="Arial" w:cs="Arial"/>
                <w:i/>
                <w:iCs/>
                <w:sz w:val="20"/>
                <w:szCs w:val="20"/>
              </w:rPr>
              <w:t xml:space="preserve">be subject to a duty to take action under section 211 in respect of an applicants property, or </w:t>
            </w:r>
          </w:p>
          <w:p w14:paraId="05B0B3E7" w14:textId="1ED870B5" w:rsidR="001B3C70" w:rsidRPr="009F0CE0" w:rsidRDefault="001B3C70" w:rsidP="001B3C70">
            <w:pPr>
              <w:pStyle w:val="ListParagraph"/>
              <w:numPr>
                <w:ilvl w:val="0"/>
                <w:numId w:val="21"/>
              </w:numPr>
              <w:tabs>
                <w:tab w:val="left" w:pos="1545"/>
              </w:tabs>
              <w:rPr>
                <w:rFonts w:ascii="Arial" w:hAnsi="Arial" w:cs="Arial"/>
                <w:i/>
                <w:iCs/>
                <w:sz w:val="20"/>
                <w:szCs w:val="20"/>
              </w:rPr>
            </w:pPr>
            <w:r w:rsidRPr="009F0CE0">
              <w:rPr>
                <w:rFonts w:ascii="Arial" w:hAnsi="Arial" w:cs="Arial"/>
                <w:i/>
                <w:iCs/>
                <w:sz w:val="20"/>
                <w:szCs w:val="20"/>
              </w:rPr>
              <w:t xml:space="preserve">Cease to </w:t>
            </w:r>
            <w:r w:rsidR="003E46D5" w:rsidRPr="009F0CE0">
              <w:rPr>
                <w:rFonts w:ascii="Arial" w:hAnsi="Arial" w:cs="Arial"/>
                <w:i/>
                <w:iCs/>
                <w:sz w:val="20"/>
                <w:szCs w:val="20"/>
              </w:rPr>
              <w:t xml:space="preserve">have power to take such action, having previously taken such action, they shall notify the applicant of that fact and of the reason for it. </w:t>
            </w:r>
          </w:p>
          <w:p w14:paraId="1CDFEF76" w14:textId="77777777" w:rsidR="00DD1466" w:rsidRPr="009F0CE0" w:rsidRDefault="00DD1466" w:rsidP="00DD1466">
            <w:pPr>
              <w:tabs>
                <w:tab w:val="left" w:pos="1545"/>
              </w:tabs>
              <w:rPr>
                <w:rFonts w:ascii="Arial" w:hAnsi="Arial" w:cs="Arial"/>
                <w:i/>
                <w:iCs/>
                <w:sz w:val="20"/>
                <w:szCs w:val="20"/>
              </w:rPr>
            </w:pPr>
          </w:p>
          <w:p w14:paraId="6D8F2BAF" w14:textId="603B880B" w:rsidR="00DD1466" w:rsidRPr="009F0CE0" w:rsidRDefault="00DD1466" w:rsidP="00DD1466">
            <w:pPr>
              <w:pStyle w:val="ListParagraph"/>
              <w:numPr>
                <w:ilvl w:val="0"/>
                <w:numId w:val="16"/>
              </w:numPr>
              <w:tabs>
                <w:tab w:val="left" w:pos="1545"/>
              </w:tabs>
              <w:rPr>
                <w:rFonts w:ascii="Arial" w:hAnsi="Arial" w:cs="Arial"/>
                <w:i/>
                <w:iCs/>
                <w:sz w:val="20"/>
                <w:szCs w:val="20"/>
              </w:rPr>
            </w:pPr>
            <w:r w:rsidRPr="009F0CE0">
              <w:rPr>
                <w:rFonts w:ascii="Arial" w:hAnsi="Arial" w:cs="Arial"/>
                <w:i/>
                <w:iCs/>
                <w:sz w:val="20"/>
                <w:szCs w:val="20"/>
              </w:rPr>
              <w:t>The notification shall be given to the applicant:</w:t>
            </w:r>
          </w:p>
          <w:p w14:paraId="117EEDA7" w14:textId="77777777" w:rsidR="00F564EB" w:rsidRPr="009F0CE0" w:rsidRDefault="00F564EB" w:rsidP="00F564EB">
            <w:pPr>
              <w:pStyle w:val="ListParagraph"/>
              <w:tabs>
                <w:tab w:val="left" w:pos="1545"/>
              </w:tabs>
              <w:rPr>
                <w:rFonts w:ascii="Arial" w:hAnsi="Arial" w:cs="Arial"/>
                <w:i/>
                <w:iCs/>
                <w:sz w:val="20"/>
                <w:szCs w:val="20"/>
              </w:rPr>
            </w:pPr>
          </w:p>
          <w:p w14:paraId="7455D50E" w14:textId="0E4C2D3B" w:rsidR="00F564EB" w:rsidRPr="009F0CE0" w:rsidRDefault="00F564EB" w:rsidP="00F564EB">
            <w:pPr>
              <w:pStyle w:val="ListParagraph"/>
              <w:numPr>
                <w:ilvl w:val="0"/>
                <w:numId w:val="22"/>
              </w:numPr>
              <w:tabs>
                <w:tab w:val="left" w:pos="1545"/>
              </w:tabs>
              <w:rPr>
                <w:rFonts w:ascii="Arial" w:hAnsi="Arial" w:cs="Arial"/>
                <w:i/>
                <w:iCs/>
                <w:sz w:val="20"/>
                <w:szCs w:val="20"/>
              </w:rPr>
            </w:pPr>
            <w:r w:rsidRPr="009F0CE0">
              <w:rPr>
                <w:rFonts w:ascii="Arial" w:hAnsi="Arial" w:cs="Arial"/>
                <w:i/>
                <w:iCs/>
                <w:sz w:val="20"/>
                <w:szCs w:val="20"/>
              </w:rPr>
              <w:t>By delivering it to him, or</w:t>
            </w:r>
          </w:p>
          <w:p w14:paraId="31363469" w14:textId="23A79B4C" w:rsidR="00F564EB" w:rsidRPr="009F0CE0" w:rsidRDefault="00F564EB" w:rsidP="00F564EB">
            <w:pPr>
              <w:pStyle w:val="ListParagraph"/>
              <w:numPr>
                <w:ilvl w:val="0"/>
                <w:numId w:val="22"/>
              </w:numPr>
              <w:tabs>
                <w:tab w:val="left" w:pos="1545"/>
              </w:tabs>
              <w:rPr>
                <w:rFonts w:ascii="Arial" w:hAnsi="Arial" w:cs="Arial"/>
                <w:i/>
                <w:iCs/>
                <w:sz w:val="20"/>
                <w:szCs w:val="20"/>
              </w:rPr>
            </w:pPr>
            <w:r w:rsidRPr="009F0CE0">
              <w:rPr>
                <w:rFonts w:ascii="Arial" w:hAnsi="Arial" w:cs="Arial"/>
                <w:i/>
                <w:iCs/>
                <w:sz w:val="20"/>
                <w:szCs w:val="20"/>
              </w:rPr>
              <w:t xml:space="preserve">By leaving it, or sending it to him, and his last known address. </w:t>
            </w:r>
          </w:p>
          <w:p w14:paraId="57EA1E28" w14:textId="77777777" w:rsidR="00F564EB" w:rsidRPr="009F0CE0" w:rsidRDefault="00F564EB" w:rsidP="00F564EB">
            <w:pPr>
              <w:pStyle w:val="ListParagraph"/>
              <w:tabs>
                <w:tab w:val="left" w:pos="1545"/>
              </w:tabs>
              <w:rPr>
                <w:rFonts w:ascii="Arial" w:hAnsi="Arial" w:cs="Arial"/>
                <w:i/>
                <w:iCs/>
                <w:sz w:val="20"/>
                <w:szCs w:val="20"/>
              </w:rPr>
            </w:pPr>
          </w:p>
          <w:p w14:paraId="1184C200" w14:textId="57AD60E2" w:rsidR="00DD1466" w:rsidRPr="009F0CE0" w:rsidRDefault="00DD1466" w:rsidP="00DD1466">
            <w:pPr>
              <w:pStyle w:val="ListParagraph"/>
              <w:numPr>
                <w:ilvl w:val="0"/>
                <w:numId w:val="16"/>
              </w:numPr>
              <w:tabs>
                <w:tab w:val="left" w:pos="1545"/>
              </w:tabs>
              <w:rPr>
                <w:rFonts w:ascii="Arial" w:hAnsi="Arial" w:cs="Arial"/>
                <w:i/>
                <w:iCs/>
                <w:sz w:val="20"/>
                <w:szCs w:val="20"/>
              </w:rPr>
            </w:pPr>
            <w:r w:rsidRPr="009F0CE0">
              <w:rPr>
                <w:rFonts w:ascii="Arial" w:hAnsi="Arial" w:cs="Arial"/>
                <w:i/>
                <w:iCs/>
                <w:sz w:val="20"/>
                <w:szCs w:val="20"/>
              </w:rPr>
              <w:t xml:space="preserve">References </w:t>
            </w:r>
            <w:r w:rsidRPr="009F0CE0">
              <w:rPr>
                <w:rFonts w:ascii="Arial" w:hAnsi="Arial" w:cs="Arial"/>
                <w:i/>
                <w:iCs/>
                <w:color w:val="000000"/>
                <w:sz w:val="20"/>
                <w:szCs w:val="20"/>
                <w:shd w:val="clear" w:color="auto" w:fill="FFFFFF"/>
              </w:rPr>
              <w:t>in this section to personal property of the applicant include personal property of any person who might reasonably be expected to reside with him.</w:t>
            </w:r>
          </w:p>
          <w:p w14:paraId="5860384F" w14:textId="061F2A47" w:rsidR="00AE0111" w:rsidRPr="00AE0111" w:rsidRDefault="00AE0111" w:rsidP="00AE0111">
            <w:pPr>
              <w:pStyle w:val="ListParagraph"/>
              <w:tabs>
                <w:tab w:val="left" w:pos="1545"/>
              </w:tabs>
              <w:rPr>
                <w:rFonts w:ascii="Arial" w:hAnsi="Arial" w:cs="Arial"/>
                <w:i/>
                <w:iCs/>
              </w:rPr>
            </w:pPr>
          </w:p>
        </w:tc>
      </w:tr>
      <w:tr w:rsidR="003E2303" w14:paraId="438FC28E" w14:textId="77777777" w:rsidTr="00392A0E">
        <w:trPr>
          <w:trHeight w:val="520"/>
        </w:trPr>
        <w:tc>
          <w:tcPr>
            <w:tcW w:w="568" w:type="dxa"/>
          </w:tcPr>
          <w:p w14:paraId="43079518" w14:textId="53EB80F8" w:rsidR="003E2303" w:rsidRPr="007357F6" w:rsidRDefault="003E2303" w:rsidP="003E2303">
            <w:pPr>
              <w:tabs>
                <w:tab w:val="left" w:pos="1545"/>
              </w:tabs>
              <w:rPr>
                <w:rFonts w:ascii="Arial" w:hAnsi="Arial" w:cs="Arial"/>
              </w:rPr>
            </w:pPr>
            <w:r w:rsidRPr="007357F6">
              <w:rPr>
                <w:rFonts w:ascii="Arial" w:hAnsi="Arial" w:cs="Arial"/>
              </w:rPr>
              <w:lastRenderedPageBreak/>
              <w:t>1.</w:t>
            </w:r>
            <w:r w:rsidR="00394AB5">
              <w:rPr>
                <w:rFonts w:ascii="Arial" w:hAnsi="Arial" w:cs="Arial"/>
              </w:rPr>
              <w:t>2</w:t>
            </w:r>
          </w:p>
        </w:tc>
        <w:tc>
          <w:tcPr>
            <w:tcW w:w="9638" w:type="dxa"/>
          </w:tcPr>
          <w:p w14:paraId="042123F4" w14:textId="3C98E78E" w:rsidR="003E2303" w:rsidRPr="008007F5" w:rsidRDefault="003E2303" w:rsidP="003E2303">
            <w:pPr>
              <w:tabs>
                <w:tab w:val="left" w:pos="1545"/>
              </w:tabs>
              <w:rPr>
                <w:rFonts w:ascii="Arial" w:hAnsi="Arial" w:cs="Arial"/>
              </w:rPr>
            </w:pPr>
            <w:r w:rsidRPr="008007F5">
              <w:rPr>
                <w:rFonts w:ascii="Arial" w:hAnsi="Arial" w:cs="Arial"/>
              </w:rPr>
              <w:t>This policy aims t</w:t>
            </w:r>
            <w:r w:rsidR="006C5340" w:rsidRPr="008007F5">
              <w:rPr>
                <w:rFonts w:ascii="Arial" w:hAnsi="Arial" w:cs="Arial"/>
              </w:rPr>
              <w:t>o</w:t>
            </w:r>
            <w:r w:rsidRPr="008007F5">
              <w:rPr>
                <w:rFonts w:ascii="Arial" w:hAnsi="Arial" w:cs="Arial"/>
              </w:rPr>
              <w:t xml:space="preserve"> ensure that </w:t>
            </w:r>
            <w:r w:rsidR="001A0D6B" w:rsidRPr="008007F5">
              <w:rPr>
                <w:rFonts w:ascii="Arial" w:hAnsi="Arial" w:cs="Arial"/>
              </w:rPr>
              <w:t>client’s</w:t>
            </w:r>
            <w:r w:rsidR="006C5340" w:rsidRPr="008007F5">
              <w:rPr>
                <w:rFonts w:ascii="Arial" w:hAnsi="Arial" w:cs="Arial"/>
              </w:rPr>
              <w:t xml:space="preserve"> property</w:t>
            </w:r>
            <w:r w:rsidRPr="008007F5">
              <w:rPr>
                <w:rFonts w:ascii="Arial" w:hAnsi="Arial" w:cs="Arial"/>
              </w:rPr>
              <w:t xml:space="preserve"> </w:t>
            </w:r>
            <w:r w:rsidR="006C5340" w:rsidRPr="008007F5">
              <w:rPr>
                <w:rFonts w:ascii="Arial" w:hAnsi="Arial" w:cs="Arial"/>
              </w:rPr>
              <w:t xml:space="preserve">is stored </w:t>
            </w:r>
            <w:r w:rsidRPr="008007F5">
              <w:rPr>
                <w:rFonts w:ascii="Arial" w:hAnsi="Arial" w:cs="Arial"/>
              </w:rPr>
              <w:t xml:space="preserve">in-line with terms of this policy; complaints about </w:t>
            </w:r>
            <w:r w:rsidR="003940AF" w:rsidRPr="008007F5">
              <w:rPr>
                <w:rFonts w:ascii="Arial" w:hAnsi="Arial" w:cs="Arial"/>
              </w:rPr>
              <w:t xml:space="preserve">storage </w:t>
            </w:r>
            <w:r w:rsidRPr="008007F5">
              <w:rPr>
                <w:rFonts w:ascii="Arial" w:hAnsi="Arial" w:cs="Arial"/>
              </w:rPr>
              <w:t xml:space="preserve">are dealt with efficiently and effectively; advise and support is offered to </w:t>
            </w:r>
            <w:r w:rsidR="003940AF" w:rsidRPr="008007F5">
              <w:rPr>
                <w:rFonts w:ascii="Arial" w:hAnsi="Arial" w:cs="Arial"/>
              </w:rPr>
              <w:t xml:space="preserve">clients about storing their property. </w:t>
            </w:r>
          </w:p>
          <w:p w14:paraId="14EF8360" w14:textId="46C9D534" w:rsidR="003E2303" w:rsidRPr="008007F5" w:rsidRDefault="003E2303" w:rsidP="003E2303">
            <w:pPr>
              <w:tabs>
                <w:tab w:val="left" w:pos="1545"/>
              </w:tabs>
              <w:rPr>
                <w:rFonts w:ascii="Arial" w:hAnsi="Arial" w:cs="Arial"/>
              </w:rPr>
            </w:pPr>
          </w:p>
        </w:tc>
      </w:tr>
      <w:tr w:rsidR="003E2303" w14:paraId="50D9A1C7" w14:textId="77777777" w:rsidTr="00392A0E">
        <w:trPr>
          <w:trHeight w:val="314"/>
        </w:trPr>
        <w:tc>
          <w:tcPr>
            <w:tcW w:w="568" w:type="dxa"/>
          </w:tcPr>
          <w:p w14:paraId="77F68066" w14:textId="3A801611" w:rsidR="003E2303" w:rsidRPr="008007F5" w:rsidRDefault="003E2303" w:rsidP="003E2303">
            <w:pPr>
              <w:tabs>
                <w:tab w:val="left" w:pos="1545"/>
              </w:tabs>
              <w:rPr>
                <w:rFonts w:ascii="Arial" w:hAnsi="Arial" w:cs="Arial"/>
                <w:b/>
                <w:bCs/>
              </w:rPr>
            </w:pPr>
            <w:r w:rsidRPr="008007F5">
              <w:rPr>
                <w:rFonts w:ascii="Arial" w:hAnsi="Arial" w:cs="Arial"/>
                <w:b/>
                <w:bCs/>
              </w:rPr>
              <w:t xml:space="preserve">2. </w:t>
            </w:r>
          </w:p>
        </w:tc>
        <w:tc>
          <w:tcPr>
            <w:tcW w:w="9638" w:type="dxa"/>
          </w:tcPr>
          <w:p w14:paraId="46A8B2A1" w14:textId="34D7019E" w:rsidR="003E2303" w:rsidRPr="008007F5" w:rsidRDefault="003E2303" w:rsidP="003E2303">
            <w:pPr>
              <w:tabs>
                <w:tab w:val="left" w:pos="1545"/>
              </w:tabs>
              <w:rPr>
                <w:rFonts w:ascii="Arial" w:hAnsi="Arial" w:cs="Arial"/>
                <w:b/>
                <w:bCs/>
              </w:rPr>
            </w:pPr>
            <w:r w:rsidRPr="008007F5">
              <w:rPr>
                <w:rFonts w:ascii="Arial" w:hAnsi="Arial" w:cs="Arial"/>
                <w:b/>
                <w:bCs/>
              </w:rPr>
              <w:t>Purpose</w:t>
            </w:r>
            <w:r w:rsidR="006E4C0E" w:rsidRPr="008007F5">
              <w:rPr>
                <w:rFonts w:ascii="Arial" w:hAnsi="Arial" w:cs="Arial"/>
                <w:b/>
                <w:bCs/>
              </w:rPr>
              <w:t xml:space="preserve"> </w:t>
            </w:r>
          </w:p>
        </w:tc>
      </w:tr>
      <w:tr w:rsidR="003E2303" w14:paraId="7309E3F3" w14:textId="77777777" w:rsidTr="00392A0E">
        <w:trPr>
          <w:trHeight w:val="520"/>
        </w:trPr>
        <w:tc>
          <w:tcPr>
            <w:tcW w:w="568" w:type="dxa"/>
          </w:tcPr>
          <w:p w14:paraId="63E86A58" w14:textId="7D3A82A5" w:rsidR="003E2303" w:rsidRPr="008007F5" w:rsidRDefault="003E2303" w:rsidP="003E2303">
            <w:pPr>
              <w:tabs>
                <w:tab w:val="left" w:pos="1545"/>
              </w:tabs>
              <w:rPr>
                <w:rFonts w:ascii="Arial" w:hAnsi="Arial" w:cs="Arial"/>
              </w:rPr>
            </w:pPr>
            <w:r w:rsidRPr="008007F5">
              <w:rPr>
                <w:rFonts w:ascii="Arial" w:hAnsi="Arial" w:cs="Arial"/>
              </w:rPr>
              <w:t>2.1</w:t>
            </w:r>
          </w:p>
        </w:tc>
        <w:tc>
          <w:tcPr>
            <w:tcW w:w="9638" w:type="dxa"/>
          </w:tcPr>
          <w:p w14:paraId="66EDCC96" w14:textId="7876138A" w:rsidR="003940AF" w:rsidRPr="008007F5" w:rsidRDefault="006E4C0E" w:rsidP="003E2303">
            <w:pPr>
              <w:tabs>
                <w:tab w:val="left" w:pos="1545"/>
              </w:tabs>
              <w:rPr>
                <w:rFonts w:ascii="Arial" w:hAnsi="Arial" w:cs="Arial"/>
              </w:rPr>
            </w:pPr>
            <w:r w:rsidRPr="008007F5">
              <w:rPr>
                <w:rFonts w:ascii="Arial" w:hAnsi="Arial" w:cs="Arial"/>
              </w:rPr>
              <w:t xml:space="preserve">The purpose of the policy is to ensure that Nuneaton and Bedworth Borough Council’s Housing Solutions Team have a consistent; fair; and transparent approach in the way it deals with </w:t>
            </w:r>
            <w:r w:rsidR="003940AF" w:rsidRPr="008007F5">
              <w:rPr>
                <w:rFonts w:ascii="Arial" w:hAnsi="Arial" w:cs="Arial"/>
              </w:rPr>
              <w:t xml:space="preserve">storing </w:t>
            </w:r>
            <w:r w:rsidR="00946213" w:rsidRPr="008007F5">
              <w:rPr>
                <w:rFonts w:ascii="Arial" w:hAnsi="Arial" w:cs="Arial"/>
              </w:rPr>
              <w:t>client’s</w:t>
            </w:r>
            <w:r w:rsidR="003940AF" w:rsidRPr="008007F5">
              <w:rPr>
                <w:rFonts w:ascii="Arial" w:hAnsi="Arial" w:cs="Arial"/>
              </w:rPr>
              <w:t xml:space="preserve"> property </w:t>
            </w:r>
            <w:r w:rsidR="00946213" w:rsidRPr="008007F5">
              <w:rPr>
                <w:rFonts w:ascii="Arial" w:hAnsi="Arial" w:cs="Arial"/>
              </w:rPr>
              <w:t xml:space="preserve">when assisting them with housing and housing options. </w:t>
            </w:r>
          </w:p>
          <w:p w14:paraId="6644A8BA" w14:textId="6AA4C3A4" w:rsidR="006E4C0E" w:rsidRPr="008007F5" w:rsidRDefault="006E4C0E" w:rsidP="00946213">
            <w:pPr>
              <w:tabs>
                <w:tab w:val="left" w:pos="1545"/>
              </w:tabs>
              <w:rPr>
                <w:rFonts w:ascii="Arial" w:hAnsi="Arial" w:cs="Arial"/>
              </w:rPr>
            </w:pPr>
          </w:p>
        </w:tc>
      </w:tr>
      <w:tr w:rsidR="003E2303" w14:paraId="28598E9F" w14:textId="77777777" w:rsidTr="00392A0E">
        <w:trPr>
          <w:trHeight w:val="406"/>
        </w:trPr>
        <w:tc>
          <w:tcPr>
            <w:tcW w:w="568" w:type="dxa"/>
          </w:tcPr>
          <w:p w14:paraId="5D6E0F70" w14:textId="6A4BC570" w:rsidR="003E2303" w:rsidRPr="008007F5" w:rsidRDefault="006E4C0E" w:rsidP="003E2303">
            <w:pPr>
              <w:tabs>
                <w:tab w:val="left" w:pos="1545"/>
              </w:tabs>
              <w:rPr>
                <w:rFonts w:ascii="Arial" w:hAnsi="Arial" w:cs="Arial"/>
                <w:b/>
                <w:bCs/>
              </w:rPr>
            </w:pPr>
            <w:r w:rsidRPr="008007F5">
              <w:rPr>
                <w:rFonts w:ascii="Arial" w:hAnsi="Arial" w:cs="Arial"/>
                <w:b/>
                <w:bCs/>
              </w:rPr>
              <w:t>3</w:t>
            </w:r>
            <w:r w:rsidR="003E2303" w:rsidRPr="008007F5">
              <w:rPr>
                <w:rFonts w:ascii="Arial" w:hAnsi="Arial" w:cs="Arial"/>
                <w:b/>
                <w:bCs/>
              </w:rPr>
              <w:t>.</w:t>
            </w:r>
          </w:p>
        </w:tc>
        <w:tc>
          <w:tcPr>
            <w:tcW w:w="9638" w:type="dxa"/>
          </w:tcPr>
          <w:p w14:paraId="62531500" w14:textId="514192CF" w:rsidR="003E2303" w:rsidRPr="008007F5" w:rsidRDefault="003E2303" w:rsidP="003E2303">
            <w:pPr>
              <w:tabs>
                <w:tab w:val="left" w:pos="1545"/>
              </w:tabs>
              <w:rPr>
                <w:rFonts w:ascii="Arial" w:hAnsi="Arial" w:cs="Arial"/>
                <w:b/>
                <w:bCs/>
              </w:rPr>
            </w:pPr>
            <w:r w:rsidRPr="008007F5">
              <w:rPr>
                <w:rFonts w:ascii="Arial" w:hAnsi="Arial" w:cs="Arial"/>
                <w:b/>
                <w:bCs/>
              </w:rPr>
              <w:t>Responsibility</w:t>
            </w:r>
          </w:p>
        </w:tc>
      </w:tr>
      <w:tr w:rsidR="003E2303" w14:paraId="2CFF9159" w14:textId="77777777" w:rsidTr="00392A0E">
        <w:trPr>
          <w:trHeight w:val="520"/>
        </w:trPr>
        <w:tc>
          <w:tcPr>
            <w:tcW w:w="568" w:type="dxa"/>
          </w:tcPr>
          <w:p w14:paraId="41CC4F54" w14:textId="65E9DE65" w:rsidR="003E2303" w:rsidRPr="008007F5" w:rsidRDefault="00B6697A" w:rsidP="003E2303">
            <w:pPr>
              <w:tabs>
                <w:tab w:val="left" w:pos="1545"/>
              </w:tabs>
              <w:rPr>
                <w:rFonts w:ascii="Arial" w:hAnsi="Arial" w:cs="Arial"/>
              </w:rPr>
            </w:pPr>
            <w:r w:rsidRPr="008007F5">
              <w:rPr>
                <w:rFonts w:ascii="Arial" w:hAnsi="Arial" w:cs="Arial"/>
              </w:rPr>
              <w:t>3.1</w:t>
            </w:r>
          </w:p>
        </w:tc>
        <w:tc>
          <w:tcPr>
            <w:tcW w:w="9638" w:type="dxa"/>
          </w:tcPr>
          <w:p w14:paraId="46B85AEE" w14:textId="77777777" w:rsidR="003E2303" w:rsidRPr="008007F5" w:rsidRDefault="00B6697A" w:rsidP="003E2303">
            <w:pPr>
              <w:tabs>
                <w:tab w:val="left" w:pos="1545"/>
              </w:tabs>
              <w:rPr>
                <w:rFonts w:ascii="Arial" w:hAnsi="Arial" w:cs="Arial"/>
              </w:rPr>
            </w:pPr>
            <w:r w:rsidRPr="008007F5">
              <w:rPr>
                <w:rFonts w:ascii="Arial" w:hAnsi="Arial" w:cs="Arial"/>
              </w:rPr>
              <w:t xml:space="preserve">The Housing Solutions Manager retains the overall responsibility for the implementation of this policy. </w:t>
            </w:r>
          </w:p>
          <w:p w14:paraId="560C32A4" w14:textId="6C4556B5" w:rsidR="00B6697A" w:rsidRPr="008007F5" w:rsidRDefault="00B6697A" w:rsidP="003E2303">
            <w:pPr>
              <w:tabs>
                <w:tab w:val="left" w:pos="1545"/>
              </w:tabs>
              <w:rPr>
                <w:rFonts w:ascii="Arial" w:hAnsi="Arial" w:cs="Arial"/>
              </w:rPr>
            </w:pPr>
          </w:p>
        </w:tc>
      </w:tr>
      <w:tr w:rsidR="00B6697A" w14:paraId="2B5CD3E7" w14:textId="77777777" w:rsidTr="00392A0E">
        <w:trPr>
          <w:trHeight w:val="520"/>
        </w:trPr>
        <w:tc>
          <w:tcPr>
            <w:tcW w:w="568" w:type="dxa"/>
          </w:tcPr>
          <w:p w14:paraId="3AFE3802" w14:textId="0449F00C" w:rsidR="00B6697A" w:rsidRPr="00FD5270" w:rsidRDefault="00B6697A" w:rsidP="003E2303">
            <w:pPr>
              <w:tabs>
                <w:tab w:val="left" w:pos="1545"/>
              </w:tabs>
              <w:rPr>
                <w:rFonts w:ascii="Arial" w:hAnsi="Arial" w:cs="Arial"/>
              </w:rPr>
            </w:pPr>
            <w:r w:rsidRPr="00FD5270">
              <w:rPr>
                <w:rFonts w:ascii="Arial" w:hAnsi="Arial" w:cs="Arial"/>
              </w:rPr>
              <w:t>3.2</w:t>
            </w:r>
          </w:p>
        </w:tc>
        <w:tc>
          <w:tcPr>
            <w:tcW w:w="9638" w:type="dxa"/>
          </w:tcPr>
          <w:p w14:paraId="7DE22B7A" w14:textId="7FCDDB60" w:rsidR="00B6697A" w:rsidRDefault="00B6697A" w:rsidP="003E2303">
            <w:pPr>
              <w:tabs>
                <w:tab w:val="left" w:pos="1545"/>
              </w:tabs>
              <w:rPr>
                <w:rFonts w:ascii="Arial" w:hAnsi="Arial" w:cs="Arial"/>
              </w:rPr>
            </w:pPr>
            <w:r w:rsidRPr="00FD5270">
              <w:rPr>
                <w:rFonts w:ascii="Arial" w:hAnsi="Arial" w:cs="Arial"/>
              </w:rPr>
              <w:t xml:space="preserve">The Housing Solutions Team Leader and </w:t>
            </w:r>
            <w:r w:rsidR="00384645">
              <w:rPr>
                <w:rFonts w:ascii="Arial" w:hAnsi="Arial" w:cs="Arial"/>
              </w:rPr>
              <w:t>Landlord Solutions Team Leader</w:t>
            </w:r>
            <w:r w:rsidRPr="00FD5270">
              <w:rPr>
                <w:rFonts w:ascii="Arial" w:hAnsi="Arial" w:cs="Arial"/>
              </w:rPr>
              <w:t xml:space="preserve"> are responsible for operational delivery of this policy and the associated procedures. This includes responsibility for monitoring and reviewing; staff awareness and training; </w:t>
            </w:r>
            <w:r w:rsidR="00353CF2" w:rsidRPr="00FD5270">
              <w:rPr>
                <w:rFonts w:ascii="Arial" w:hAnsi="Arial" w:cs="Arial"/>
              </w:rPr>
              <w:t xml:space="preserve">policy development; and communication to </w:t>
            </w:r>
            <w:r w:rsidR="003C6EB1">
              <w:rPr>
                <w:rFonts w:ascii="Arial" w:hAnsi="Arial" w:cs="Arial"/>
              </w:rPr>
              <w:t>client.</w:t>
            </w:r>
            <w:r w:rsidR="00353CF2" w:rsidRPr="00FD5270">
              <w:rPr>
                <w:rFonts w:ascii="Arial" w:hAnsi="Arial" w:cs="Arial"/>
              </w:rPr>
              <w:t xml:space="preserve"> </w:t>
            </w:r>
          </w:p>
          <w:p w14:paraId="45B77DAB" w14:textId="610E9422" w:rsidR="00B430D8" w:rsidRPr="00FD5270" w:rsidRDefault="00B430D8" w:rsidP="003E2303">
            <w:pPr>
              <w:tabs>
                <w:tab w:val="left" w:pos="1545"/>
              </w:tabs>
              <w:rPr>
                <w:rFonts w:ascii="Arial" w:hAnsi="Arial" w:cs="Arial"/>
              </w:rPr>
            </w:pPr>
          </w:p>
        </w:tc>
      </w:tr>
      <w:tr w:rsidR="00DD6895" w14:paraId="52A38480" w14:textId="77777777" w:rsidTr="00392A0E">
        <w:trPr>
          <w:trHeight w:val="520"/>
        </w:trPr>
        <w:tc>
          <w:tcPr>
            <w:tcW w:w="568" w:type="dxa"/>
          </w:tcPr>
          <w:p w14:paraId="7A2F2827" w14:textId="5FAF3BE2" w:rsidR="00DD6895" w:rsidRPr="00FD5270" w:rsidRDefault="00DD6895" w:rsidP="003E2303">
            <w:pPr>
              <w:tabs>
                <w:tab w:val="left" w:pos="1545"/>
              </w:tabs>
              <w:rPr>
                <w:rFonts w:ascii="Arial" w:hAnsi="Arial" w:cs="Arial"/>
              </w:rPr>
            </w:pPr>
            <w:r>
              <w:rPr>
                <w:rFonts w:ascii="Arial" w:hAnsi="Arial" w:cs="Arial"/>
              </w:rPr>
              <w:t>3.3</w:t>
            </w:r>
          </w:p>
        </w:tc>
        <w:tc>
          <w:tcPr>
            <w:tcW w:w="9638" w:type="dxa"/>
          </w:tcPr>
          <w:p w14:paraId="472E8F04" w14:textId="717794E2" w:rsidR="00DE004E" w:rsidRDefault="007E4B11" w:rsidP="007E4B11">
            <w:pPr>
              <w:tabs>
                <w:tab w:val="left" w:pos="1545"/>
              </w:tabs>
              <w:rPr>
                <w:rFonts w:ascii="Arial" w:hAnsi="Arial" w:cs="Arial"/>
              </w:rPr>
            </w:pPr>
            <w:r>
              <w:rPr>
                <w:rFonts w:ascii="Arial" w:hAnsi="Arial" w:cs="Arial"/>
              </w:rPr>
              <w:t>Clients that are unable to find storage for their belongings</w:t>
            </w:r>
            <w:r w:rsidR="009356F8">
              <w:rPr>
                <w:rFonts w:ascii="Arial" w:hAnsi="Arial" w:cs="Arial"/>
              </w:rPr>
              <w:t xml:space="preserve"> and require support from Nuneaton and Bedworth Borough Council will have a responsibility to approach a storage company; obtain quotes for keeping their items in storage; </w:t>
            </w:r>
            <w:r w:rsidR="008D213A">
              <w:rPr>
                <w:rFonts w:ascii="Arial" w:hAnsi="Arial" w:cs="Arial"/>
              </w:rPr>
              <w:t xml:space="preserve">make </w:t>
            </w:r>
            <w:r w:rsidR="002431DF">
              <w:rPr>
                <w:rFonts w:ascii="Arial" w:hAnsi="Arial" w:cs="Arial"/>
              </w:rPr>
              <w:t xml:space="preserve">arrangements with the storage company for their items going into storage; complete </w:t>
            </w:r>
            <w:r w:rsidR="00995A63">
              <w:rPr>
                <w:rFonts w:ascii="Arial" w:hAnsi="Arial" w:cs="Arial"/>
              </w:rPr>
              <w:t xml:space="preserve">their own inventory of items going into storage; </w:t>
            </w:r>
            <w:r w:rsidR="006758A4">
              <w:rPr>
                <w:rFonts w:ascii="Arial" w:hAnsi="Arial" w:cs="Arial"/>
              </w:rPr>
              <w:t>the invoices will be sent to the client and the council will assist with the costs</w:t>
            </w:r>
            <w:r w:rsidR="0089292E">
              <w:rPr>
                <w:rFonts w:ascii="Arial" w:hAnsi="Arial" w:cs="Arial"/>
              </w:rPr>
              <w:t xml:space="preserve"> for the time in which the client is in temporary accommodation</w:t>
            </w:r>
            <w:r w:rsidR="006758A4">
              <w:rPr>
                <w:rFonts w:ascii="Arial" w:hAnsi="Arial" w:cs="Arial"/>
              </w:rPr>
              <w:t xml:space="preserve">; and the client has overall responsibility for making arrangements to clear the storage unit when they leave temporary accommodation or sign for a new tenancy agreement. </w:t>
            </w:r>
          </w:p>
          <w:p w14:paraId="7E24537B" w14:textId="749CF91F" w:rsidR="009356F8" w:rsidRPr="00FD5270" w:rsidRDefault="009356F8" w:rsidP="007E4B11">
            <w:pPr>
              <w:tabs>
                <w:tab w:val="left" w:pos="1545"/>
              </w:tabs>
              <w:rPr>
                <w:rFonts w:ascii="Arial" w:hAnsi="Arial" w:cs="Arial"/>
              </w:rPr>
            </w:pPr>
          </w:p>
        </w:tc>
      </w:tr>
      <w:tr w:rsidR="00EB086F" w14:paraId="185E1ACD" w14:textId="77777777" w:rsidTr="00392A0E">
        <w:trPr>
          <w:trHeight w:val="520"/>
        </w:trPr>
        <w:tc>
          <w:tcPr>
            <w:tcW w:w="568" w:type="dxa"/>
          </w:tcPr>
          <w:p w14:paraId="6A2687D3" w14:textId="47B2264A" w:rsidR="00EB086F" w:rsidRDefault="00EB086F" w:rsidP="003E2303">
            <w:pPr>
              <w:tabs>
                <w:tab w:val="left" w:pos="1545"/>
              </w:tabs>
              <w:rPr>
                <w:rFonts w:ascii="Arial" w:hAnsi="Arial" w:cs="Arial"/>
              </w:rPr>
            </w:pPr>
            <w:r>
              <w:rPr>
                <w:rFonts w:ascii="Arial" w:hAnsi="Arial" w:cs="Arial"/>
              </w:rPr>
              <w:t>3.4</w:t>
            </w:r>
          </w:p>
        </w:tc>
        <w:tc>
          <w:tcPr>
            <w:tcW w:w="9638" w:type="dxa"/>
          </w:tcPr>
          <w:p w14:paraId="5DE01302" w14:textId="0E346716" w:rsidR="00EB086F" w:rsidRDefault="00EB086F" w:rsidP="007E4B11">
            <w:pPr>
              <w:tabs>
                <w:tab w:val="left" w:pos="1545"/>
              </w:tabs>
              <w:rPr>
                <w:rFonts w:ascii="Arial" w:hAnsi="Arial" w:cs="Arial"/>
              </w:rPr>
            </w:pPr>
            <w:r>
              <w:rPr>
                <w:rFonts w:ascii="Arial" w:hAnsi="Arial" w:cs="Arial"/>
              </w:rPr>
              <w:t>The client will also be required to sign a Storage Agreement between the</w:t>
            </w:r>
            <w:r w:rsidR="00353481">
              <w:rPr>
                <w:rFonts w:ascii="Arial" w:hAnsi="Arial" w:cs="Arial"/>
              </w:rPr>
              <w:t>m (the client)</w:t>
            </w:r>
            <w:r>
              <w:rPr>
                <w:rFonts w:ascii="Arial" w:hAnsi="Arial" w:cs="Arial"/>
              </w:rPr>
              <w:t xml:space="preserve"> and Nuneaton and Bedworth Borough Council to confirm the following:</w:t>
            </w:r>
          </w:p>
          <w:p w14:paraId="370F70F9" w14:textId="77777777" w:rsidR="00EB086F" w:rsidRDefault="00EB086F" w:rsidP="007E4B11">
            <w:pPr>
              <w:tabs>
                <w:tab w:val="left" w:pos="1545"/>
              </w:tabs>
              <w:rPr>
                <w:rFonts w:ascii="Arial" w:hAnsi="Arial" w:cs="Arial"/>
              </w:rPr>
            </w:pPr>
          </w:p>
          <w:p w14:paraId="1C65896D" w14:textId="6639754E" w:rsidR="00EB086F" w:rsidRDefault="00A56112" w:rsidP="00EB086F">
            <w:pPr>
              <w:pStyle w:val="ListParagraph"/>
              <w:numPr>
                <w:ilvl w:val="0"/>
                <w:numId w:val="11"/>
              </w:numPr>
              <w:tabs>
                <w:tab w:val="left" w:pos="1545"/>
              </w:tabs>
              <w:rPr>
                <w:rFonts w:ascii="Arial" w:hAnsi="Arial" w:cs="Arial"/>
              </w:rPr>
            </w:pPr>
            <w:r>
              <w:rPr>
                <w:rFonts w:ascii="Arial" w:hAnsi="Arial" w:cs="Arial"/>
              </w:rPr>
              <w:lastRenderedPageBreak/>
              <w:t xml:space="preserve">Ensure the client </w:t>
            </w:r>
            <w:r w:rsidR="00C01AA0">
              <w:rPr>
                <w:rFonts w:ascii="Arial" w:hAnsi="Arial" w:cs="Arial"/>
              </w:rPr>
              <w:t xml:space="preserve">understands that Nuneaton and Bedworth Borough Council have not entered a contract or agreement with any storage company. </w:t>
            </w:r>
          </w:p>
          <w:p w14:paraId="534D03B5" w14:textId="76E31D3A" w:rsidR="00C01AA0" w:rsidRDefault="00BD0E7F" w:rsidP="00EB086F">
            <w:pPr>
              <w:pStyle w:val="ListParagraph"/>
              <w:numPr>
                <w:ilvl w:val="0"/>
                <w:numId w:val="11"/>
              </w:numPr>
              <w:tabs>
                <w:tab w:val="left" w:pos="1545"/>
              </w:tabs>
              <w:rPr>
                <w:rFonts w:ascii="Arial" w:hAnsi="Arial" w:cs="Arial"/>
              </w:rPr>
            </w:pPr>
            <w:r>
              <w:rPr>
                <w:rFonts w:ascii="Arial" w:hAnsi="Arial" w:cs="Arial"/>
              </w:rPr>
              <w:t xml:space="preserve">Ensure the client understands </w:t>
            </w:r>
            <w:r w:rsidR="0089292E">
              <w:rPr>
                <w:rFonts w:ascii="Arial" w:hAnsi="Arial" w:cs="Arial"/>
              </w:rPr>
              <w:t xml:space="preserve">that </w:t>
            </w:r>
            <w:r>
              <w:rPr>
                <w:rFonts w:ascii="Arial" w:hAnsi="Arial" w:cs="Arial"/>
              </w:rPr>
              <w:t>it is their responsibility and is recommended for them to complete an inventory of their items that are taken into storage.</w:t>
            </w:r>
            <w:r w:rsidR="00994CD1">
              <w:rPr>
                <w:rFonts w:ascii="Arial" w:hAnsi="Arial" w:cs="Arial"/>
              </w:rPr>
              <w:t xml:space="preserve"> </w:t>
            </w:r>
          </w:p>
          <w:p w14:paraId="2E533112" w14:textId="1ED8BF31" w:rsidR="00BD0E7F" w:rsidRDefault="00B67415" w:rsidP="00EB086F">
            <w:pPr>
              <w:pStyle w:val="ListParagraph"/>
              <w:numPr>
                <w:ilvl w:val="0"/>
                <w:numId w:val="11"/>
              </w:numPr>
              <w:tabs>
                <w:tab w:val="left" w:pos="1545"/>
              </w:tabs>
              <w:rPr>
                <w:rFonts w:ascii="Arial" w:hAnsi="Arial" w:cs="Arial"/>
              </w:rPr>
            </w:pPr>
            <w:r>
              <w:rPr>
                <w:rFonts w:ascii="Arial" w:hAnsi="Arial" w:cs="Arial"/>
              </w:rPr>
              <w:t xml:space="preserve">Ensure the client understands that Nuneaton and Bedworth Borough Council will not be named on invoices – all invoices will be in the </w:t>
            </w:r>
            <w:r w:rsidR="00172777">
              <w:rPr>
                <w:rFonts w:ascii="Arial" w:hAnsi="Arial" w:cs="Arial"/>
              </w:rPr>
              <w:t>client’s</w:t>
            </w:r>
            <w:r>
              <w:rPr>
                <w:rFonts w:ascii="Arial" w:hAnsi="Arial" w:cs="Arial"/>
              </w:rPr>
              <w:t xml:space="preserve"> name and forwarded to the council for assistance to cover the costs.</w:t>
            </w:r>
          </w:p>
          <w:p w14:paraId="465E700A" w14:textId="01E44EE6" w:rsidR="00353481" w:rsidRDefault="00353481" w:rsidP="00353481">
            <w:pPr>
              <w:pStyle w:val="ListParagraph"/>
              <w:numPr>
                <w:ilvl w:val="0"/>
                <w:numId w:val="11"/>
              </w:numPr>
              <w:tabs>
                <w:tab w:val="left" w:pos="1545"/>
              </w:tabs>
              <w:rPr>
                <w:rFonts w:ascii="Arial" w:hAnsi="Arial" w:cs="Arial"/>
              </w:rPr>
            </w:pPr>
            <w:r>
              <w:rPr>
                <w:rFonts w:ascii="Arial" w:hAnsi="Arial" w:cs="Arial"/>
              </w:rPr>
              <w:t>Ensure the client understands it is their responsibility to arrange collection/removal of their items in storage once they vacate temporary accommodation or sign for a new tenancy agreement</w:t>
            </w:r>
            <w:r w:rsidR="002479B9">
              <w:rPr>
                <w:rFonts w:ascii="Arial" w:hAnsi="Arial" w:cs="Arial"/>
              </w:rPr>
              <w:t>.</w:t>
            </w:r>
          </w:p>
          <w:p w14:paraId="578964FE" w14:textId="169DC2EF" w:rsidR="00353481" w:rsidRDefault="00353481" w:rsidP="00353481">
            <w:pPr>
              <w:pStyle w:val="ListParagraph"/>
              <w:numPr>
                <w:ilvl w:val="0"/>
                <w:numId w:val="11"/>
              </w:numPr>
              <w:tabs>
                <w:tab w:val="left" w:pos="1545"/>
              </w:tabs>
              <w:rPr>
                <w:rFonts w:ascii="Arial" w:hAnsi="Arial" w:cs="Arial"/>
              </w:rPr>
            </w:pPr>
            <w:r>
              <w:rPr>
                <w:rFonts w:ascii="Arial" w:hAnsi="Arial" w:cs="Arial"/>
              </w:rPr>
              <w:t>Ensure the client understands the Storage Agreement will cancel wh</w:t>
            </w:r>
            <w:r w:rsidR="002479B9">
              <w:rPr>
                <w:rFonts w:ascii="Arial" w:hAnsi="Arial" w:cs="Arial"/>
              </w:rPr>
              <w:t xml:space="preserve">en they vacate temporary accommodation or sign for a new tenancy agreement; and </w:t>
            </w:r>
          </w:p>
          <w:p w14:paraId="27A6DECD" w14:textId="5340217A" w:rsidR="002479B9" w:rsidRPr="00353481" w:rsidRDefault="00E3740B" w:rsidP="00353481">
            <w:pPr>
              <w:pStyle w:val="ListParagraph"/>
              <w:numPr>
                <w:ilvl w:val="0"/>
                <w:numId w:val="11"/>
              </w:numPr>
              <w:tabs>
                <w:tab w:val="left" w:pos="1545"/>
              </w:tabs>
              <w:rPr>
                <w:rFonts w:ascii="Arial" w:hAnsi="Arial" w:cs="Arial"/>
              </w:rPr>
            </w:pPr>
            <w:r>
              <w:rPr>
                <w:rFonts w:ascii="Arial" w:hAnsi="Arial" w:cs="Arial"/>
              </w:rPr>
              <w:t xml:space="preserve">Ensure the client understands that Nuneaton and Bedworth Borough Council will have no further responsibility </w:t>
            </w:r>
            <w:r w:rsidR="00172777">
              <w:rPr>
                <w:rFonts w:ascii="Arial" w:hAnsi="Arial" w:cs="Arial"/>
              </w:rPr>
              <w:t xml:space="preserve">for the </w:t>
            </w:r>
            <w:r w:rsidR="00D24C00">
              <w:rPr>
                <w:rFonts w:ascii="Arial" w:hAnsi="Arial" w:cs="Arial"/>
              </w:rPr>
              <w:t>clients’</w:t>
            </w:r>
            <w:r w:rsidR="00172777">
              <w:rPr>
                <w:rFonts w:ascii="Arial" w:hAnsi="Arial" w:cs="Arial"/>
              </w:rPr>
              <w:t xml:space="preserve"> belongings. </w:t>
            </w:r>
          </w:p>
          <w:p w14:paraId="63358C8E" w14:textId="545330B6" w:rsidR="00EB086F" w:rsidRDefault="00EB086F" w:rsidP="007E4B11">
            <w:pPr>
              <w:tabs>
                <w:tab w:val="left" w:pos="1545"/>
              </w:tabs>
              <w:rPr>
                <w:rFonts w:ascii="Arial" w:hAnsi="Arial" w:cs="Arial"/>
              </w:rPr>
            </w:pPr>
          </w:p>
        </w:tc>
      </w:tr>
      <w:tr w:rsidR="003E2A13" w14:paraId="70EA1673" w14:textId="77777777" w:rsidTr="00392A0E">
        <w:trPr>
          <w:trHeight w:val="358"/>
        </w:trPr>
        <w:tc>
          <w:tcPr>
            <w:tcW w:w="568" w:type="dxa"/>
          </w:tcPr>
          <w:p w14:paraId="70A7F30F" w14:textId="2A715C01" w:rsidR="003E2A13" w:rsidRPr="00DE004E" w:rsidRDefault="003E2A13" w:rsidP="003E2303">
            <w:pPr>
              <w:tabs>
                <w:tab w:val="left" w:pos="1545"/>
              </w:tabs>
              <w:rPr>
                <w:rFonts w:ascii="Arial" w:hAnsi="Arial" w:cs="Arial"/>
              </w:rPr>
            </w:pPr>
            <w:r w:rsidRPr="00DE004E">
              <w:rPr>
                <w:rFonts w:ascii="Arial" w:hAnsi="Arial" w:cs="Arial"/>
              </w:rPr>
              <w:lastRenderedPageBreak/>
              <w:t>3.</w:t>
            </w:r>
            <w:r w:rsidR="00EB086F">
              <w:rPr>
                <w:rFonts w:ascii="Arial" w:hAnsi="Arial" w:cs="Arial"/>
              </w:rPr>
              <w:t>5</w:t>
            </w:r>
          </w:p>
        </w:tc>
        <w:tc>
          <w:tcPr>
            <w:tcW w:w="9638" w:type="dxa"/>
          </w:tcPr>
          <w:p w14:paraId="7D8924C2" w14:textId="77777777" w:rsidR="007E4B11" w:rsidRPr="00BF7068" w:rsidRDefault="007E4B11" w:rsidP="007E4B11">
            <w:pPr>
              <w:tabs>
                <w:tab w:val="left" w:pos="1545"/>
              </w:tabs>
              <w:rPr>
                <w:rFonts w:ascii="Arial" w:hAnsi="Arial" w:cs="Arial"/>
              </w:rPr>
            </w:pPr>
            <w:r w:rsidRPr="00BF7068">
              <w:rPr>
                <w:rFonts w:ascii="Arial" w:hAnsi="Arial" w:cs="Arial"/>
              </w:rPr>
              <w:t xml:space="preserve">Clients keeping </w:t>
            </w:r>
            <w:r>
              <w:rPr>
                <w:rFonts w:ascii="Arial" w:hAnsi="Arial" w:cs="Arial"/>
              </w:rPr>
              <w:t xml:space="preserve">items in storage whilst they are </w:t>
            </w:r>
            <w:r w:rsidRPr="00BF7068">
              <w:rPr>
                <w:rFonts w:ascii="Arial" w:hAnsi="Arial" w:cs="Arial"/>
              </w:rPr>
              <w:t>in temporary accommodation will be required to pay the following fees:</w:t>
            </w:r>
          </w:p>
          <w:p w14:paraId="1154118D" w14:textId="77777777" w:rsidR="007E4B11" w:rsidRDefault="007E4B11" w:rsidP="007E4B11">
            <w:pPr>
              <w:tabs>
                <w:tab w:val="left" w:pos="1545"/>
              </w:tabs>
              <w:rPr>
                <w:rFonts w:ascii="Arial" w:hAnsi="Arial" w:cs="Arial"/>
              </w:rPr>
            </w:pPr>
          </w:p>
          <w:p w14:paraId="6132176D" w14:textId="77777777" w:rsidR="007E4B11" w:rsidRDefault="007E4B11" w:rsidP="007E4B11">
            <w:pPr>
              <w:pStyle w:val="ListParagraph"/>
              <w:numPr>
                <w:ilvl w:val="0"/>
                <w:numId w:val="10"/>
              </w:numPr>
              <w:tabs>
                <w:tab w:val="left" w:pos="1545"/>
              </w:tabs>
              <w:rPr>
                <w:rFonts w:ascii="Arial" w:hAnsi="Arial" w:cs="Arial"/>
              </w:rPr>
            </w:pPr>
            <w:r>
              <w:rPr>
                <w:rFonts w:ascii="Arial" w:hAnsi="Arial" w:cs="Arial"/>
              </w:rPr>
              <w:t>£50.00 daily rent per day – this charge may be subject to variation by the Council. This may be covered by Housing Benefit, subject to the client’s entitlement. If there is a shortfall, it is the client’s responsibility to pay.</w:t>
            </w:r>
          </w:p>
          <w:p w14:paraId="59B99C32" w14:textId="1B9387AA" w:rsidR="007E4B11" w:rsidRDefault="007E4B11" w:rsidP="007E4B11">
            <w:pPr>
              <w:pStyle w:val="ListParagraph"/>
              <w:numPr>
                <w:ilvl w:val="0"/>
                <w:numId w:val="10"/>
              </w:numPr>
              <w:tabs>
                <w:tab w:val="left" w:pos="1545"/>
              </w:tabs>
              <w:rPr>
                <w:rFonts w:ascii="Arial" w:hAnsi="Arial" w:cs="Arial"/>
              </w:rPr>
            </w:pPr>
            <w:r>
              <w:rPr>
                <w:rFonts w:ascii="Arial" w:hAnsi="Arial" w:cs="Arial"/>
              </w:rPr>
              <w:t>£2.46 service charge per day to cover the cost of gas/electric/water/council tax. This will not be covered by Housing Benefit. It is the client’s responsibility to pay.</w:t>
            </w:r>
            <w:r w:rsidR="00384645">
              <w:rPr>
                <w:rFonts w:ascii="Arial" w:hAnsi="Arial" w:cs="Arial"/>
              </w:rPr>
              <w:t xml:space="preserve"> This charge may be subject </w:t>
            </w:r>
            <w:r w:rsidR="002F12DB">
              <w:rPr>
                <w:rFonts w:ascii="Arial" w:hAnsi="Arial" w:cs="Arial"/>
              </w:rPr>
              <w:t>to variation</w:t>
            </w:r>
            <w:r w:rsidR="00384645">
              <w:rPr>
                <w:rFonts w:ascii="Arial" w:hAnsi="Arial" w:cs="Arial"/>
              </w:rPr>
              <w:t xml:space="preserve"> by the Council.</w:t>
            </w:r>
          </w:p>
          <w:p w14:paraId="40A9FDB6" w14:textId="062B2EC3" w:rsidR="007E4B11" w:rsidRDefault="007E4B11" w:rsidP="007E4B11">
            <w:pPr>
              <w:pStyle w:val="ListParagraph"/>
              <w:numPr>
                <w:ilvl w:val="0"/>
                <w:numId w:val="10"/>
              </w:numPr>
              <w:tabs>
                <w:tab w:val="left" w:pos="1545"/>
              </w:tabs>
              <w:rPr>
                <w:rFonts w:ascii="Arial" w:hAnsi="Arial" w:cs="Arial"/>
              </w:rPr>
            </w:pPr>
            <w:r>
              <w:rPr>
                <w:rFonts w:ascii="Arial" w:hAnsi="Arial" w:cs="Arial"/>
              </w:rPr>
              <w:t xml:space="preserve">£2.46 per day to cover the cost of keeping their items being stored in storage whilst the clients are in temporary accommodation. This will not be covered by Housing Benefit. It is the client’s responsibility to pay. </w:t>
            </w:r>
            <w:r w:rsidR="002F12DB">
              <w:rPr>
                <w:rFonts w:ascii="Arial" w:hAnsi="Arial" w:cs="Arial"/>
              </w:rPr>
              <w:t>This charge may be subject to variation by the Council.</w:t>
            </w:r>
          </w:p>
          <w:p w14:paraId="76247D5C" w14:textId="0151DDF7" w:rsidR="003E2A13" w:rsidRPr="007B61B3" w:rsidRDefault="003E2A13" w:rsidP="00172777">
            <w:pPr>
              <w:tabs>
                <w:tab w:val="left" w:pos="1545"/>
              </w:tabs>
              <w:rPr>
                <w:rFonts w:ascii="Arial" w:hAnsi="Arial" w:cs="Arial"/>
              </w:rPr>
            </w:pPr>
          </w:p>
        </w:tc>
      </w:tr>
      <w:tr w:rsidR="003E2303" w14:paraId="67693E5F" w14:textId="77777777" w:rsidTr="00392A0E">
        <w:trPr>
          <w:trHeight w:val="358"/>
        </w:trPr>
        <w:tc>
          <w:tcPr>
            <w:tcW w:w="568" w:type="dxa"/>
          </w:tcPr>
          <w:p w14:paraId="566A59D5" w14:textId="3DBCBE3F" w:rsidR="003E2303" w:rsidRPr="00FD5270" w:rsidRDefault="006E4C0E" w:rsidP="003E2303">
            <w:pPr>
              <w:tabs>
                <w:tab w:val="left" w:pos="1545"/>
              </w:tabs>
              <w:rPr>
                <w:rFonts w:ascii="Arial" w:hAnsi="Arial" w:cs="Arial"/>
                <w:b/>
                <w:bCs/>
              </w:rPr>
            </w:pPr>
            <w:r w:rsidRPr="00FD5270">
              <w:rPr>
                <w:rFonts w:ascii="Arial" w:hAnsi="Arial" w:cs="Arial"/>
                <w:b/>
                <w:bCs/>
              </w:rPr>
              <w:t>4</w:t>
            </w:r>
            <w:r w:rsidR="003E2303" w:rsidRPr="00FD5270">
              <w:rPr>
                <w:rFonts w:ascii="Arial" w:hAnsi="Arial" w:cs="Arial"/>
                <w:b/>
                <w:bCs/>
              </w:rPr>
              <w:t>.</w:t>
            </w:r>
          </w:p>
        </w:tc>
        <w:tc>
          <w:tcPr>
            <w:tcW w:w="9638" w:type="dxa"/>
          </w:tcPr>
          <w:p w14:paraId="49053258" w14:textId="04106628" w:rsidR="003E2303" w:rsidRPr="00FD5270" w:rsidRDefault="003E2303" w:rsidP="003E2303">
            <w:pPr>
              <w:tabs>
                <w:tab w:val="left" w:pos="1545"/>
              </w:tabs>
              <w:rPr>
                <w:rFonts w:ascii="Arial" w:hAnsi="Arial" w:cs="Arial"/>
                <w:b/>
                <w:bCs/>
              </w:rPr>
            </w:pPr>
            <w:r w:rsidRPr="00FD5270">
              <w:rPr>
                <w:rFonts w:ascii="Arial" w:hAnsi="Arial" w:cs="Arial"/>
                <w:b/>
                <w:bCs/>
              </w:rPr>
              <w:t>Policy Statement</w:t>
            </w:r>
          </w:p>
        </w:tc>
      </w:tr>
      <w:tr w:rsidR="003E2303" w14:paraId="01D1C974" w14:textId="77777777" w:rsidTr="00392A0E">
        <w:trPr>
          <w:trHeight w:val="441"/>
        </w:trPr>
        <w:tc>
          <w:tcPr>
            <w:tcW w:w="568" w:type="dxa"/>
          </w:tcPr>
          <w:p w14:paraId="445A233C" w14:textId="526F58F1" w:rsidR="003E2303" w:rsidRPr="00FD5270" w:rsidRDefault="00E251B2" w:rsidP="003E2303">
            <w:pPr>
              <w:tabs>
                <w:tab w:val="left" w:pos="1545"/>
              </w:tabs>
              <w:rPr>
                <w:rFonts w:ascii="Arial" w:hAnsi="Arial" w:cs="Arial"/>
              </w:rPr>
            </w:pPr>
            <w:r w:rsidRPr="00FD5270">
              <w:rPr>
                <w:rFonts w:ascii="Arial" w:hAnsi="Arial" w:cs="Arial"/>
              </w:rPr>
              <w:t>4.1</w:t>
            </w:r>
          </w:p>
        </w:tc>
        <w:tc>
          <w:tcPr>
            <w:tcW w:w="9638" w:type="dxa"/>
          </w:tcPr>
          <w:p w14:paraId="637C0B4F" w14:textId="3CB3A6C9" w:rsidR="00F377E9" w:rsidRPr="00FD5270" w:rsidRDefault="00E902CF" w:rsidP="00DC6D44">
            <w:pPr>
              <w:tabs>
                <w:tab w:val="left" w:pos="1545"/>
              </w:tabs>
              <w:rPr>
                <w:rFonts w:ascii="Arial" w:hAnsi="Arial" w:cs="Arial"/>
              </w:rPr>
            </w:pPr>
            <w:r w:rsidRPr="00FD5270">
              <w:rPr>
                <w:rFonts w:ascii="Arial" w:hAnsi="Arial" w:cs="Arial"/>
              </w:rPr>
              <w:t>If clients require assistance with storing their property, they must liaise with their Housing Solutions Officer as soon as possible.</w:t>
            </w:r>
            <w:r w:rsidR="00373223" w:rsidRPr="00FD5270">
              <w:rPr>
                <w:rFonts w:ascii="Arial" w:hAnsi="Arial" w:cs="Arial"/>
              </w:rPr>
              <w:t xml:space="preserve"> The Housing Solutions Officer will make enquiries </w:t>
            </w:r>
            <w:r w:rsidR="005006B1" w:rsidRPr="00FD5270">
              <w:rPr>
                <w:rFonts w:ascii="Arial" w:hAnsi="Arial" w:cs="Arial"/>
              </w:rPr>
              <w:t>with clients and liaise with storage comp</w:t>
            </w:r>
            <w:r w:rsidR="00025D79">
              <w:rPr>
                <w:rFonts w:ascii="Arial" w:hAnsi="Arial" w:cs="Arial"/>
              </w:rPr>
              <w:t>anies</w:t>
            </w:r>
            <w:r w:rsidR="005006B1" w:rsidRPr="00FD5270">
              <w:rPr>
                <w:rFonts w:ascii="Arial" w:hAnsi="Arial" w:cs="Arial"/>
              </w:rPr>
              <w:t xml:space="preserve"> regarding any storage required. </w:t>
            </w:r>
          </w:p>
          <w:p w14:paraId="68310C0A" w14:textId="77777777" w:rsidR="00F726A7" w:rsidRPr="00FD5270" w:rsidRDefault="00F726A7" w:rsidP="00DC6D44">
            <w:pPr>
              <w:tabs>
                <w:tab w:val="left" w:pos="1545"/>
              </w:tabs>
              <w:rPr>
                <w:rFonts w:ascii="Arial" w:hAnsi="Arial" w:cs="Arial"/>
              </w:rPr>
            </w:pPr>
          </w:p>
          <w:p w14:paraId="7820CC6B" w14:textId="35A63A4E" w:rsidR="00F726A7" w:rsidRDefault="00F726A7" w:rsidP="00DC6D44">
            <w:pPr>
              <w:tabs>
                <w:tab w:val="left" w:pos="1545"/>
              </w:tabs>
              <w:rPr>
                <w:rFonts w:ascii="Arial" w:hAnsi="Arial" w:cs="Arial"/>
              </w:rPr>
            </w:pPr>
            <w:r w:rsidRPr="00FD5270">
              <w:rPr>
                <w:rFonts w:ascii="Arial" w:hAnsi="Arial" w:cs="Arial"/>
              </w:rPr>
              <w:t xml:space="preserve">To perform the duty owed to </w:t>
            </w:r>
            <w:r w:rsidR="00FD5270" w:rsidRPr="00FD5270">
              <w:rPr>
                <w:rFonts w:ascii="Arial" w:hAnsi="Arial" w:cs="Arial"/>
              </w:rPr>
              <w:t>client’s</w:t>
            </w:r>
            <w:r w:rsidRPr="00FD5270">
              <w:rPr>
                <w:rFonts w:ascii="Arial" w:hAnsi="Arial" w:cs="Arial"/>
              </w:rPr>
              <w:t xml:space="preserve"> property, the Council </w:t>
            </w:r>
            <w:r w:rsidR="006C102E" w:rsidRPr="00FD5270">
              <w:rPr>
                <w:rFonts w:ascii="Arial" w:hAnsi="Arial" w:cs="Arial"/>
              </w:rPr>
              <w:t>can:</w:t>
            </w:r>
          </w:p>
          <w:p w14:paraId="01555C6D" w14:textId="77777777" w:rsidR="00B430D8" w:rsidRPr="00FD5270" w:rsidRDefault="00B430D8" w:rsidP="00DC6D44">
            <w:pPr>
              <w:tabs>
                <w:tab w:val="left" w:pos="1545"/>
              </w:tabs>
              <w:rPr>
                <w:rFonts w:ascii="Arial" w:hAnsi="Arial" w:cs="Arial"/>
              </w:rPr>
            </w:pPr>
          </w:p>
          <w:p w14:paraId="151377C9" w14:textId="743D4DF3" w:rsidR="006C102E" w:rsidRPr="00FD5270" w:rsidRDefault="006C102E" w:rsidP="006C102E">
            <w:pPr>
              <w:pStyle w:val="ListParagraph"/>
              <w:numPr>
                <w:ilvl w:val="0"/>
                <w:numId w:val="9"/>
              </w:numPr>
              <w:tabs>
                <w:tab w:val="left" w:pos="1545"/>
              </w:tabs>
              <w:rPr>
                <w:rFonts w:ascii="Arial" w:hAnsi="Arial" w:cs="Arial"/>
              </w:rPr>
            </w:pPr>
            <w:r w:rsidRPr="00FD5270">
              <w:rPr>
                <w:rFonts w:ascii="Arial" w:hAnsi="Arial" w:cs="Arial"/>
              </w:rPr>
              <w:t xml:space="preserve">Move </w:t>
            </w:r>
            <w:r w:rsidR="00FD5270" w:rsidRPr="00FD5270">
              <w:rPr>
                <w:rFonts w:ascii="Arial" w:hAnsi="Arial" w:cs="Arial"/>
              </w:rPr>
              <w:t>client’s</w:t>
            </w:r>
            <w:r w:rsidRPr="00FD5270">
              <w:rPr>
                <w:rFonts w:ascii="Arial" w:hAnsi="Arial" w:cs="Arial"/>
              </w:rPr>
              <w:t xml:space="preserve"> property to a particular location requested by the client; or </w:t>
            </w:r>
          </w:p>
          <w:p w14:paraId="1A84EE9D" w14:textId="77777777" w:rsidR="00646E02" w:rsidRDefault="00646E02" w:rsidP="00646E02">
            <w:pPr>
              <w:pStyle w:val="ListParagraph"/>
              <w:numPr>
                <w:ilvl w:val="0"/>
                <w:numId w:val="9"/>
              </w:numPr>
              <w:tabs>
                <w:tab w:val="left" w:pos="1545"/>
              </w:tabs>
              <w:rPr>
                <w:rFonts w:ascii="Arial" w:hAnsi="Arial" w:cs="Arial"/>
              </w:rPr>
            </w:pPr>
            <w:r w:rsidRPr="00FD5270">
              <w:rPr>
                <w:rFonts w:ascii="Arial" w:hAnsi="Arial" w:cs="Arial"/>
              </w:rPr>
              <w:t xml:space="preserve">Deal with personal property, in any way which is reasonably necessary, </w:t>
            </w:r>
            <w:r w:rsidR="00FD5270" w:rsidRPr="00FD5270">
              <w:rPr>
                <w:rFonts w:ascii="Arial" w:hAnsi="Arial" w:cs="Arial"/>
              </w:rPr>
              <w:t>by</w:t>
            </w:r>
            <w:r w:rsidRPr="00FD5270">
              <w:rPr>
                <w:rFonts w:ascii="Arial" w:hAnsi="Arial" w:cs="Arial"/>
              </w:rPr>
              <w:t xml:space="preserve"> storing it or arranging for its storage. </w:t>
            </w:r>
          </w:p>
          <w:p w14:paraId="510682B9" w14:textId="4A4D9CEB" w:rsidR="00472AE9" w:rsidRPr="00FD5270" w:rsidRDefault="00472AE9" w:rsidP="00472AE9">
            <w:pPr>
              <w:pStyle w:val="ListParagraph"/>
              <w:tabs>
                <w:tab w:val="left" w:pos="1545"/>
              </w:tabs>
              <w:rPr>
                <w:rFonts w:ascii="Arial" w:hAnsi="Arial" w:cs="Arial"/>
              </w:rPr>
            </w:pPr>
          </w:p>
        </w:tc>
      </w:tr>
      <w:tr w:rsidR="001F4686" w14:paraId="2D6F4EE2" w14:textId="77777777" w:rsidTr="00392A0E">
        <w:trPr>
          <w:trHeight w:val="1373"/>
        </w:trPr>
        <w:tc>
          <w:tcPr>
            <w:tcW w:w="568" w:type="dxa"/>
          </w:tcPr>
          <w:p w14:paraId="655F00A0" w14:textId="104D81AF" w:rsidR="001F4686" w:rsidRPr="00FD5270" w:rsidRDefault="001F4686" w:rsidP="003E2303">
            <w:pPr>
              <w:tabs>
                <w:tab w:val="left" w:pos="1545"/>
              </w:tabs>
              <w:rPr>
                <w:rFonts w:ascii="Arial" w:hAnsi="Arial" w:cs="Arial"/>
              </w:rPr>
            </w:pPr>
            <w:r w:rsidRPr="00FD5270">
              <w:rPr>
                <w:rFonts w:ascii="Arial" w:hAnsi="Arial" w:cs="Arial"/>
              </w:rPr>
              <w:t>4.2</w:t>
            </w:r>
          </w:p>
        </w:tc>
        <w:tc>
          <w:tcPr>
            <w:tcW w:w="9638" w:type="dxa"/>
          </w:tcPr>
          <w:p w14:paraId="42C4933F" w14:textId="108F865A" w:rsidR="00D82295" w:rsidRDefault="00D82295" w:rsidP="003E2303">
            <w:pPr>
              <w:tabs>
                <w:tab w:val="left" w:pos="1545"/>
              </w:tabs>
              <w:rPr>
                <w:rFonts w:ascii="Arial" w:hAnsi="Arial" w:cs="Arial"/>
              </w:rPr>
            </w:pPr>
            <w:r w:rsidRPr="00FD5270">
              <w:rPr>
                <w:rFonts w:ascii="Arial" w:hAnsi="Arial" w:cs="Arial"/>
              </w:rPr>
              <w:t>The definition of ‘Property’:</w:t>
            </w:r>
          </w:p>
          <w:p w14:paraId="4A742BB4" w14:textId="77777777" w:rsidR="00EB309A" w:rsidRPr="00FD5270" w:rsidRDefault="00EB309A" w:rsidP="003E2303">
            <w:pPr>
              <w:tabs>
                <w:tab w:val="left" w:pos="1545"/>
              </w:tabs>
              <w:rPr>
                <w:rFonts w:ascii="Arial" w:hAnsi="Arial" w:cs="Arial"/>
              </w:rPr>
            </w:pPr>
          </w:p>
          <w:p w14:paraId="3A491240" w14:textId="77777777" w:rsidR="00BD50D1" w:rsidRDefault="00644D2F" w:rsidP="00D82295">
            <w:pPr>
              <w:pStyle w:val="ListParagraph"/>
              <w:numPr>
                <w:ilvl w:val="0"/>
                <w:numId w:val="8"/>
              </w:numPr>
              <w:tabs>
                <w:tab w:val="left" w:pos="1545"/>
              </w:tabs>
              <w:rPr>
                <w:rFonts w:ascii="Arial" w:hAnsi="Arial" w:cs="Arial"/>
              </w:rPr>
            </w:pPr>
            <w:r w:rsidRPr="00FD5270">
              <w:rPr>
                <w:rFonts w:ascii="Arial" w:hAnsi="Arial" w:cs="Arial"/>
              </w:rPr>
              <w:t>Th</w:t>
            </w:r>
            <w:r w:rsidR="00767D27" w:rsidRPr="00FD5270">
              <w:rPr>
                <w:rFonts w:ascii="Arial" w:hAnsi="Arial" w:cs="Arial"/>
              </w:rPr>
              <w:t xml:space="preserve">e legislation concerns ‘personal property’ but there is no definition. </w:t>
            </w:r>
            <w:r w:rsidR="00BD50D1" w:rsidRPr="00FD5270">
              <w:rPr>
                <w:rFonts w:ascii="Arial" w:hAnsi="Arial" w:cs="Arial"/>
              </w:rPr>
              <w:t>Case law suggests that any property a cli</w:t>
            </w:r>
            <w:r w:rsidR="00B12E49" w:rsidRPr="00FD5270">
              <w:rPr>
                <w:rFonts w:ascii="Arial" w:hAnsi="Arial" w:cs="Arial"/>
              </w:rPr>
              <w:t>e</w:t>
            </w:r>
            <w:r w:rsidR="00BD50D1" w:rsidRPr="00FD5270">
              <w:rPr>
                <w:rFonts w:ascii="Arial" w:hAnsi="Arial" w:cs="Arial"/>
              </w:rPr>
              <w:t xml:space="preserve">nt uses to carry out commercial business may not come under the definite, otherwise, the Council should interpret the term widely. </w:t>
            </w:r>
          </w:p>
          <w:p w14:paraId="08A7EE58" w14:textId="17661872" w:rsidR="00645CB8" w:rsidRPr="00FD5270" w:rsidRDefault="00645CB8" w:rsidP="00645CB8">
            <w:pPr>
              <w:pStyle w:val="ListParagraph"/>
              <w:tabs>
                <w:tab w:val="left" w:pos="1545"/>
              </w:tabs>
              <w:rPr>
                <w:rFonts w:ascii="Arial" w:hAnsi="Arial" w:cs="Arial"/>
              </w:rPr>
            </w:pPr>
          </w:p>
        </w:tc>
      </w:tr>
      <w:tr w:rsidR="001F4686" w14:paraId="3DB6FB91" w14:textId="77777777" w:rsidTr="00392A0E">
        <w:trPr>
          <w:trHeight w:val="880"/>
        </w:trPr>
        <w:tc>
          <w:tcPr>
            <w:tcW w:w="568" w:type="dxa"/>
          </w:tcPr>
          <w:p w14:paraId="07B67153" w14:textId="4F281475" w:rsidR="001F4686" w:rsidRPr="00FD5270" w:rsidRDefault="001F4686" w:rsidP="003E2303">
            <w:pPr>
              <w:tabs>
                <w:tab w:val="left" w:pos="1545"/>
              </w:tabs>
              <w:rPr>
                <w:rFonts w:ascii="Arial" w:hAnsi="Arial" w:cs="Arial"/>
              </w:rPr>
            </w:pPr>
            <w:r w:rsidRPr="00FD5270">
              <w:rPr>
                <w:rFonts w:ascii="Arial" w:hAnsi="Arial" w:cs="Arial"/>
              </w:rPr>
              <w:t>4.3</w:t>
            </w:r>
          </w:p>
        </w:tc>
        <w:tc>
          <w:tcPr>
            <w:tcW w:w="9638" w:type="dxa"/>
          </w:tcPr>
          <w:p w14:paraId="4150B678" w14:textId="77777777" w:rsidR="001F4686" w:rsidRDefault="00641322" w:rsidP="003E2303">
            <w:pPr>
              <w:tabs>
                <w:tab w:val="left" w:pos="1545"/>
              </w:tabs>
              <w:rPr>
                <w:rFonts w:ascii="Arial" w:hAnsi="Arial" w:cs="Arial"/>
              </w:rPr>
            </w:pPr>
            <w:r w:rsidRPr="00FD5270">
              <w:rPr>
                <w:rFonts w:ascii="Arial" w:hAnsi="Arial" w:cs="Arial"/>
              </w:rPr>
              <w:t xml:space="preserve">Nuneaton and Bedworth Borough Council </w:t>
            </w:r>
            <w:r w:rsidR="005D484B" w:rsidRPr="00FD5270">
              <w:rPr>
                <w:rFonts w:ascii="Arial" w:hAnsi="Arial" w:cs="Arial"/>
              </w:rPr>
              <w:t xml:space="preserve">must be sensitive to the importance of </w:t>
            </w:r>
            <w:r w:rsidR="008B6EDB" w:rsidRPr="00FD5270">
              <w:rPr>
                <w:rFonts w:ascii="Arial" w:hAnsi="Arial" w:cs="Arial"/>
              </w:rPr>
              <w:t xml:space="preserve">clients keeping pets. The Council </w:t>
            </w:r>
            <w:r w:rsidRPr="00FD5270">
              <w:rPr>
                <w:rFonts w:ascii="Arial" w:hAnsi="Arial" w:cs="Arial"/>
              </w:rPr>
              <w:t xml:space="preserve">may be able to assist clients who keep </w:t>
            </w:r>
            <w:r w:rsidR="00104684" w:rsidRPr="00FD5270">
              <w:rPr>
                <w:rFonts w:ascii="Arial" w:hAnsi="Arial" w:cs="Arial"/>
              </w:rPr>
              <w:t>pets if</w:t>
            </w:r>
            <w:r w:rsidRPr="00FD5270">
              <w:rPr>
                <w:rFonts w:ascii="Arial" w:hAnsi="Arial" w:cs="Arial"/>
              </w:rPr>
              <w:t xml:space="preserve"> there is suitable accommodation available.</w:t>
            </w:r>
            <w:r w:rsidR="008B6EDB" w:rsidRPr="00FD5270">
              <w:rPr>
                <w:rFonts w:ascii="Arial" w:hAnsi="Arial" w:cs="Arial"/>
              </w:rPr>
              <w:t xml:space="preserve"> </w:t>
            </w:r>
            <w:r w:rsidR="003E5AD0" w:rsidRPr="00FD5270">
              <w:rPr>
                <w:rFonts w:ascii="Arial" w:hAnsi="Arial" w:cs="Arial"/>
              </w:rPr>
              <w:t xml:space="preserve">Please refer to the Housing Solutions Pet Policy </w:t>
            </w:r>
            <w:r w:rsidR="00104684" w:rsidRPr="00FD5270">
              <w:rPr>
                <w:rFonts w:ascii="Arial" w:hAnsi="Arial" w:cs="Arial"/>
              </w:rPr>
              <w:t>for additional information</w:t>
            </w:r>
            <w:r w:rsidR="008C4245" w:rsidRPr="00FD5270">
              <w:rPr>
                <w:rFonts w:ascii="Arial" w:hAnsi="Arial" w:cs="Arial"/>
              </w:rPr>
              <w:t xml:space="preserve"> &amp; guidance. </w:t>
            </w:r>
          </w:p>
          <w:p w14:paraId="7D263472" w14:textId="7FB8FB27" w:rsidR="00527586" w:rsidRPr="00FD5270" w:rsidRDefault="00527586" w:rsidP="003E2303">
            <w:pPr>
              <w:tabs>
                <w:tab w:val="left" w:pos="1545"/>
              </w:tabs>
              <w:rPr>
                <w:rFonts w:ascii="Arial" w:hAnsi="Arial" w:cs="Arial"/>
              </w:rPr>
            </w:pPr>
          </w:p>
        </w:tc>
      </w:tr>
      <w:tr w:rsidR="001F4686" w14:paraId="0778B738" w14:textId="77777777" w:rsidTr="00392A0E">
        <w:trPr>
          <w:trHeight w:val="1132"/>
        </w:trPr>
        <w:tc>
          <w:tcPr>
            <w:tcW w:w="568" w:type="dxa"/>
          </w:tcPr>
          <w:p w14:paraId="67041AD9" w14:textId="2969DC72" w:rsidR="001F4686" w:rsidRPr="00FD5270" w:rsidRDefault="001F4686" w:rsidP="003E2303">
            <w:pPr>
              <w:tabs>
                <w:tab w:val="left" w:pos="1545"/>
              </w:tabs>
              <w:rPr>
                <w:rFonts w:ascii="Arial" w:hAnsi="Arial" w:cs="Arial"/>
              </w:rPr>
            </w:pPr>
            <w:r w:rsidRPr="00FD5270">
              <w:rPr>
                <w:rFonts w:ascii="Arial" w:hAnsi="Arial" w:cs="Arial"/>
              </w:rPr>
              <w:t>4.4</w:t>
            </w:r>
          </w:p>
        </w:tc>
        <w:tc>
          <w:tcPr>
            <w:tcW w:w="9638" w:type="dxa"/>
          </w:tcPr>
          <w:p w14:paraId="0D911058" w14:textId="77777777" w:rsidR="001F4686" w:rsidRDefault="009B7EE2" w:rsidP="003E2303">
            <w:pPr>
              <w:tabs>
                <w:tab w:val="left" w:pos="1545"/>
              </w:tabs>
              <w:rPr>
                <w:rFonts w:ascii="Arial" w:hAnsi="Arial" w:cs="Arial"/>
              </w:rPr>
            </w:pPr>
            <w:r>
              <w:rPr>
                <w:rFonts w:ascii="Arial" w:hAnsi="Arial" w:cs="Arial"/>
              </w:rPr>
              <w:t xml:space="preserve">Enquiries regarding pets should be referred to the Housing Solutions Team to </w:t>
            </w:r>
            <w:r w:rsidR="00645CB8">
              <w:rPr>
                <w:rFonts w:ascii="Arial" w:hAnsi="Arial" w:cs="Arial"/>
              </w:rPr>
              <w:t>review the Housing Solutions Team Temporary Accommodation Pet Policy</w:t>
            </w:r>
            <w:r w:rsidR="00AE03DA">
              <w:rPr>
                <w:rFonts w:ascii="Arial" w:hAnsi="Arial" w:cs="Arial"/>
              </w:rPr>
              <w:t>.</w:t>
            </w:r>
          </w:p>
          <w:p w14:paraId="7AE16E9A" w14:textId="77777777" w:rsidR="002F12DB" w:rsidRDefault="002F12DB" w:rsidP="003E2303">
            <w:pPr>
              <w:tabs>
                <w:tab w:val="left" w:pos="1545"/>
              </w:tabs>
              <w:rPr>
                <w:rFonts w:ascii="Arial" w:hAnsi="Arial" w:cs="Arial"/>
              </w:rPr>
            </w:pPr>
          </w:p>
          <w:p w14:paraId="4A028C17" w14:textId="77777777" w:rsidR="002F12DB" w:rsidRDefault="002F12DB" w:rsidP="003E2303">
            <w:pPr>
              <w:tabs>
                <w:tab w:val="left" w:pos="1545"/>
              </w:tabs>
              <w:rPr>
                <w:rFonts w:ascii="Arial" w:hAnsi="Arial" w:cs="Arial"/>
              </w:rPr>
            </w:pPr>
          </w:p>
          <w:p w14:paraId="4DAF2BCF" w14:textId="77777777" w:rsidR="002F12DB" w:rsidRDefault="002F12DB" w:rsidP="003E2303">
            <w:pPr>
              <w:tabs>
                <w:tab w:val="left" w:pos="1545"/>
              </w:tabs>
              <w:rPr>
                <w:rFonts w:ascii="Arial" w:hAnsi="Arial" w:cs="Arial"/>
              </w:rPr>
            </w:pPr>
          </w:p>
          <w:p w14:paraId="635D376F" w14:textId="77777777" w:rsidR="002F12DB" w:rsidRDefault="002F12DB" w:rsidP="003E2303">
            <w:pPr>
              <w:tabs>
                <w:tab w:val="left" w:pos="1545"/>
              </w:tabs>
              <w:rPr>
                <w:rFonts w:ascii="Arial" w:hAnsi="Arial" w:cs="Arial"/>
              </w:rPr>
            </w:pPr>
          </w:p>
          <w:p w14:paraId="2386DA7D" w14:textId="5F1A47FC" w:rsidR="002F12DB" w:rsidRPr="00FD5270" w:rsidRDefault="002F12DB" w:rsidP="003E2303">
            <w:pPr>
              <w:tabs>
                <w:tab w:val="left" w:pos="1545"/>
              </w:tabs>
              <w:rPr>
                <w:rFonts w:ascii="Arial" w:hAnsi="Arial" w:cs="Arial"/>
              </w:rPr>
            </w:pPr>
          </w:p>
        </w:tc>
      </w:tr>
      <w:tr w:rsidR="007C1FF2" w14:paraId="45224633" w14:textId="77777777" w:rsidTr="00392A0E">
        <w:trPr>
          <w:trHeight w:val="414"/>
        </w:trPr>
        <w:tc>
          <w:tcPr>
            <w:tcW w:w="568" w:type="dxa"/>
          </w:tcPr>
          <w:p w14:paraId="03C969DC" w14:textId="7BFE4170" w:rsidR="007C1FF2" w:rsidRPr="00E76F7A" w:rsidRDefault="00E76F7A" w:rsidP="003E2303">
            <w:pPr>
              <w:tabs>
                <w:tab w:val="left" w:pos="1545"/>
              </w:tabs>
              <w:rPr>
                <w:rFonts w:ascii="Arial" w:hAnsi="Arial" w:cs="Arial"/>
                <w:b/>
                <w:bCs/>
              </w:rPr>
            </w:pPr>
            <w:r w:rsidRPr="00E76F7A">
              <w:rPr>
                <w:rFonts w:ascii="Arial" w:hAnsi="Arial" w:cs="Arial"/>
                <w:b/>
                <w:bCs/>
              </w:rPr>
              <w:lastRenderedPageBreak/>
              <w:t>5</w:t>
            </w:r>
            <w:r w:rsidR="007C1FF2" w:rsidRPr="00E76F7A">
              <w:rPr>
                <w:rFonts w:ascii="Arial" w:hAnsi="Arial" w:cs="Arial"/>
                <w:b/>
                <w:bCs/>
              </w:rPr>
              <w:t>.</w:t>
            </w:r>
          </w:p>
        </w:tc>
        <w:tc>
          <w:tcPr>
            <w:tcW w:w="9638" w:type="dxa"/>
          </w:tcPr>
          <w:p w14:paraId="60EED305" w14:textId="5E92E6C3" w:rsidR="007C1FF2" w:rsidRPr="007C1FF2" w:rsidRDefault="007C1FF2" w:rsidP="003E2303">
            <w:pPr>
              <w:tabs>
                <w:tab w:val="left" w:pos="1545"/>
              </w:tabs>
              <w:rPr>
                <w:rFonts w:ascii="Arial" w:hAnsi="Arial" w:cs="Arial"/>
                <w:b/>
                <w:bCs/>
              </w:rPr>
            </w:pPr>
            <w:r w:rsidRPr="007C1FF2">
              <w:rPr>
                <w:rFonts w:ascii="Arial" w:hAnsi="Arial" w:cs="Arial"/>
                <w:b/>
                <w:bCs/>
              </w:rPr>
              <w:t xml:space="preserve">Abandoned property </w:t>
            </w:r>
          </w:p>
        </w:tc>
      </w:tr>
      <w:tr w:rsidR="007C1FF2" w14:paraId="0D4C879E" w14:textId="77777777" w:rsidTr="00392A0E">
        <w:trPr>
          <w:trHeight w:val="845"/>
        </w:trPr>
        <w:tc>
          <w:tcPr>
            <w:tcW w:w="568" w:type="dxa"/>
          </w:tcPr>
          <w:p w14:paraId="10E2EDE4" w14:textId="6D12D2D1" w:rsidR="007C1FF2" w:rsidRPr="00E76F7A" w:rsidRDefault="00E76F7A" w:rsidP="003E2303">
            <w:pPr>
              <w:tabs>
                <w:tab w:val="left" w:pos="1545"/>
              </w:tabs>
              <w:rPr>
                <w:rFonts w:ascii="Arial" w:hAnsi="Arial" w:cs="Arial"/>
              </w:rPr>
            </w:pPr>
            <w:r w:rsidRPr="00E76F7A">
              <w:rPr>
                <w:rFonts w:ascii="Arial" w:hAnsi="Arial" w:cs="Arial"/>
              </w:rPr>
              <w:t>5</w:t>
            </w:r>
            <w:r w:rsidR="007C1FF2" w:rsidRPr="00E76F7A">
              <w:rPr>
                <w:rFonts w:ascii="Arial" w:hAnsi="Arial" w:cs="Arial"/>
              </w:rPr>
              <w:t>.1</w:t>
            </w:r>
          </w:p>
        </w:tc>
        <w:tc>
          <w:tcPr>
            <w:tcW w:w="9638" w:type="dxa"/>
          </w:tcPr>
          <w:p w14:paraId="628EDFD5" w14:textId="3954C14E" w:rsidR="007C1FF2" w:rsidRDefault="00350554" w:rsidP="003E2303">
            <w:pPr>
              <w:tabs>
                <w:tab w:val="left" w:pos="1545"/>
              </w:tabs>
              <w:rPr>
                <w:rFonts w:ascii="Arial" w:hAnsi="Arial" w:cs="Arial"/>
              </w:rPr>
            </w:pPr>
            <w:r>
              <w:rPr>
                <w:rFonts w:ascii="Arial" w:hAnsi="Arial" w:cs="Arial"/>
              </w:rPr>
              <w:t xml:space="preserve">If </w:t>
            </w:r>
            <w:r w:rsidR="004802F6">
              <w:rPr>
                <w:rFonts w:ascii="Arial" w:hAnsi="Arial" w:cs="Arial"/>
              </w:rPr>
              <w:t>the</w:t>
            </w:r>
            <w:r>
              <w:rPr>
                <w:rFonts w:ascii="Arial" w:hAnsi="Arial" w:cs="Arial"/>
              </w:rPr>
              <w:t xml:space="preserve"> client vacates temporary accommodation </w:t>
            </w:r>
            <w:r w:rsidR="004802F6">
              <w:rPr>
                <w:rFonts w:ascii="Arial" w:hAnsi="Arial" w:cs="Arial"/>
              </w:rPr>
              <w:t xml:space="preserve">(no matter the circumstances) </w:t>
            </w:r>
            <w:r>
              <w:rPr>
                <w:rFonts w:ascii="Arial" w:hAnsi="Arial" w:cs="Arial"/>
              </w:rPr>
              <w:t xml:space="preserve">and has property in storage, </w:t>
            </w:r>
            <w:r w:rsidR="00EC56E6">
              <w:rPr>
                <w:rFonts w:ascii="Arial" w:hAnsi="Arial" w:cs="Arial"/>
              </w:rPr>
              <w:t xml:space="preserve">the client has a responsibility to ensure they liaise with the storage company to collect and remove their property from the storage as soon as possible. </w:t>
            </w:r>
            <w:r w:rsidR="00066F8D">
              <w:rPr>
                <w:rFonts w:ascii="Arial" w:hAnsi="Arial" w:cs="Arial"/>
              </w:rPr>
              <w:t xml:space="preserve">The council will no longer have a duty to cover the cost of a </w:t>
            </w:r>
            <w:r w:rsidR="00E76F7A">
              <w:rPr>
                <w:rFonts w:ascii="Arial" w:hAnsi="Arial" w:cs="Arial"/>
              </w:rPr>
              <w:t>client’s</w:t>
            </w:r>
            <w:r w:rsidR="00066F8D">
              <w:rPr>
                <w:rFonts w:ascii="Arial" w:hAnsi="Arial" w:cs="Arial"/>
              </w:rPr>
              <w:t xml:space="preserve"> items in storage if they have vacated temporary accommodation. </w:t>
            </w:r>
            <w:r w:rsidR="00D97EAD">
              <w:rPr>
                <w:rFonts w:ascii="Arial" w:hAnsi="Arial" w:cs="Arial"/>
              </w:rPr>
              <w:t xml:space="preserve">This is also included in the Storage Agreement. </w:t>
            </w:r>
          </w:p>
          <w:p w14:paraId="6CCCF128" w14:textId="22A5B24E" w:rsidR="00973CC1" w:rsidRDefault="00973CC1" w:rsidP="003E2303">
            <w:pPr>
              <w:tabs>
                <w:tab w:val="left" w:pos="1545"/>
              </w:tabs>
              <w:rPr>
                <w:rFonts w:ascii="Arial" w:hAnsi="Arial" w:cs="Arial"/>
              </w:rPr>
            </w:pPr>
          </w:p>
        </w:tc>
      </w:tr>
      <w:tr w:rsidR="00EC56E6" w14:paraId="39F63E46" w14:textId="77777777" w:rsidTr="00392A0E">
        <w:trPr>
          <w:trHeight w:val="1125"/>
        </w:trPr>
        <w:tc>
          <w:tcPr>
            <w:tcW w:w="568" w:type="dxa"/>
          </w:tcPr>
          <w:p w14:paraId="0FA75028" w14:textId="2C351F2E" w:rsidR="00EC56E6" w:rsidRPr="00E76F7A" w:rsidRDefault="00E76F7A" w:rsidP="003E2303">
            <w:pPr>
              <w:tabs>
                <w:tab w:val="left" w:pos="1545"/>
              </w:tabs>
              <w:rPr>
                <w:rFonts w:ascii="Arial" w:hAnsi="Arial" w:cs="Arial"/>
              </w:rPr>
            </w:pPr>
            <w:r w:rsidRPr="00E76F7A">
              <w:rPr>
                <w:rFonts w:ascii="Arial" w:hAnsi="Arial" w:cs="Arial"/>
              </w:rPr>
              <w:t>5</w:t>
            </w:r>
            <w:r w:rsidR="00EC56E6" w:rsidRPr="00E76F7A">
              <w:rPr>
                <w:rFonts w:ascii="Arial" w:hAnsi="Arial" w:cs="Arial"/>
              </w:rPr>
              <w:t>.</w:t>
            </w:r>
            <w:r w:rsidRPr="00E76F7A">
              <w:rPr>
                <w:rFonts w:ascii="Arial" w:hAnsi="Arial" w:cs="Arial"/>
              </w:rPr>
              <w:t>2</w:t>
            </w:r>
          </w:p>
        </w:tc>
        <w:tc>
          <w:tcPr>
            <w:tcW w:w="9638" w:type="dxa"/>
          </w:tcPr>
          <w:p w14:paraId="2EA679C8" w14:textId="6A32F484" w:rsidR="00EC56E6" w:rsidRDefault="008B65FE" w:rsidP="003E2303">
            <w:pPr>
              <w:tabs>
                <w:tab w:val="left" w:pos="1545"/>
              </w:tabs>
              <w:rPr>
                <w:rFonts w:ascii="Arial" w:hAnsi="Arial" w:cs="Arial"/>
              </w:rPr>
            </w:pPr>
            <w:r>
              <w:rPr>
                <w:rFonts w:ascii="Arial" w:hAnsi="Arial" w:cs="Arial"/>
              </w:rPr>
              <w:t xml:space="preserve">It is the </w:t>
            </w:r>
            <w:r w:rsidR="005D549F">
              <w:rPr>
                <w:rFonts w:ascii="Arial" w:hAnsi="Arial" w:cs="Arial"/>
              </w:rPr>
              <w:t>client’s</w:t>
            </w:r>
            <w:r>
              <w:rPr>
                <w:rFonts w:ascii="Arial" w:hAnsi="Arial" w:cs="Arial"/>
              </w:rPr>
              <w:t xml:space="preserve"> responsibility to ensure that they engage with </w:t>
            </w:r>
            <w:r w:rsidR="00266A00">
              <w:rPr>
                <w:rFonts w:ascii="Arial" w:hAnsi="Arial" w:cs="Arial"/>
              </w:rPr>
              <w:t xml:space="preserve">their </w:t>
            </w:r>
            <w:r>
              <w:rPr>
                <w:rFonts w:ascii="Arial" w:hAnsi="Arial" w:cs="Arial"/>
              </w:rPr>
              <w:t>Housing Solutions Officer and storage company regarding the collection/removal of their goods</w:t>
            </w:r>
            <w:r w:rsidR="00E76F7A">
              <w:rPr>
                <w:rFonts w:ascii="Arial" w:hAnsi="Arial" w:cs="Arial"/>
              </w:rPr>
              <w:t>, specifically if they secure alternative accommodation</w:t>
            </w:r>
            <w:r>
              <w:rPr>
                <w:rFonts w:ascii="Arial" w:hAnsi="Arial" w:cs="Arial"/>
              </w:rPr>
              <w:t>. The Council</w:t>
            </w:r>
            <w:r w:rsidR="00266A00">
              <w:rPr>
                <w:rFonts w:ascii="Arial" w:hAnsi="Arial" w:cs="Arial"/>
              </w:rPr>
              <w:t xml:space="preserve"> do not have any jurisdiction and are not able to override procedures storage companies have in place wi</w:t>
            </w:r>
            <w:r w:rsidR="00115D23">
              <w:rPr>
                <w:rFonts w:ascii="Arial" w:hAnsi="Arial" w:cs="Arial"/>
              </w:rPr>
              <w:t>th regards to abandoned goods/property.</w:t>
            </w:r>
          </w:p>
          <w:p w14:paraId="20BAD125" w14:textId="5C7C59CD" w:rsidR="00973CC1" w:rsidRDefault="00973CC1" w:rsidP="003E2303">
            <w:pPr>
              <w:tabs>
                <w:tab w:val="left" w:pos="1545"/>
              </w:tabs>
              <w:rPr>
                <w:rFonts w:ascii="Arial" w:hAnsi="Arial" w:cs="Arial"/>
              </w:rPr>
            </w:pPr>
          </w:p>
        </w:tc>
      </w:tr>
      <w:tr w:rsidR="003E2303" w14:paraId="681CE22D" w14:textId="77777777" w:rsidTr="00392A0E">
        <w:trPr>
          <w:trHeight w:val="302"/>
        </w:trPr>
        <w:tc>
          <w:tcPr>
            <w:tcW w:w="568" w:type="dxa"/>
          </w:tcPr>
          <w:p w14:paraId="7F7AAA88" w14:textId="772A6733" w:rsidR="003E2303" w:rsidRPr="00A433B0" w:rsidRDefault="00A433B0" w:rsidP="003E2303">
            <w:pPr>
              <w:tabs>
                <w:tab w:val="left" w:pos="1545"/>
              </w:tabs>
              <w:rPr>
                <w:rFonts w:ascii="Arial" w:hAnsi="Arial" w:cs="Arial"/>
                <w:b/>
                <w:bCs/>
              </w:rPr>
            </w:pPr>
            <w:r w:rsidRPr="00A433B0">
              <w:rPr>
                <w:rFonts w:ascii="Arial" w:hAnsi="Arial" w:cs="Arial"/>
                <w:b/>
                <w:bCs/>
              </w:rPr>
              <w:t>6</w:t>
            </w:r>
            <w:r w:rsidR="003E2303" w:rsidRPr="00A433B0">
              <w:rPr>
                <w:rFonts w:ascii="Arial" w:hAnsi="Arial" w:cs="Arial"/>
                <w:b/>
                <w:bCs/>
              </w:rPr>
              <w:t>.</w:t>
            </w:r>
          </w:p>
        </w:tc>
        <w:tc>
          <w:tcPr>
            <w:tcW w:w="9638" w:type="dxa"/>
          </w:tcPr>
          <w:p w14:paraId="1FED27CF" w14:textId="312EE874" w:rsidR="003E2303" w:rsidRPr="00A433B0" w:rsidRDefault="003E2303" w:rsidP="003E2303">
            <w:pPr>
              <w:tabs>
                <w:tab w:val="left" w:pos="1545"/>
              </w:tabs>
              <w:rPr>
                <w:rFonts w:ascii="Arial" w:hAnsi="Arial" w:cs="Arial"/>
                <w:b/>
                <w:bCs/>
              </w:rPr>
            </w:pPr>
            <w:r w:rsidRPr="00A433B0">
              <w:rPr>
                <w:rFonts w:ascii="Arial" w:hAnsi="Arial" w:cs="Arial"/>
                <w:b/>
                <w:bCs/>
              </w:rPr>
              <w:t xml:space="preserve">Related documents </w:t>
            </w:r>
          </w:p>
        </w:tc>
      </w:tr>
      <w:tr w:rsidR="003E2303" w14:paraId="4E573962" w14:textId="77777777" w:rsidTr="00392A0E">
        <w:trPr>
          <w:trHeight w:val="1260"/>
        </w:trPr>
        <w:tc>
          <w:tcPr>
            <w:tcW w:w="568" w:type="dxa"/>
          </w:tcPr>
          <w:p w14:paraId="155392CD" w14:textId="352EBA88" w:rsidR="003E2303" w:rsidRPr="00A433B0" w:rsidRDefault="00A433B0" w:rsidP="003E2303">
            <w:pPr>
              <w:tabs>
                <w:tab w:val="left" w:pos="1545"/>
              </w:tabs>
              <w:rPr>
                <w:rFonts w:ascii="Arial" w:hAnsi="Arial" w:cs="Arial"/>
              </w:rPr>
            </w:pPr>
            <w:r w:rsidRPr="00A433B0">
              <w:rPr>
                <w:rFonts w:ascii="Arial" w:hAnsi="Arial" w:cs="Arial"/>
              </w:rPr>
              <w:t>6</w:t>
            </w:r>
            <w:r w:rsidR="006E4C0E" w:rsidRPr="00A433B0">
              <w:rPr>
                <w:rFonts w:ascii="Arial" w:hAnsi="Arial" w:cs="Arial"/>
              </w:rPr>
              <w:t>.1</w:t>
            </w:r>
          </w:p>
        </w:tc>
        <w:tc>
          <w:tcPr>
            <w:tcW w:w="9638" w:type="dxa"/>
          </w:tcPr>
          <w:p w14:paraId="053A5495" w14:textId="77777777" w:rsidR="003E2303" w:rsidRPr="00A433B0" w:rsidRDefault="006E4C0E" w:rsidP="003E2303">
            <w:pPr>
              <w:tabs>
                <w:tab w:val="left" w:pos="1545"/>
              </w:tabs>
              <w:rPr>
                <w:rFonts w:ascii="Arial" w:hAnsi="Arial" w:cs="Arial"/>
              </w:rPr>
            </w:pPr>
            <w:r w:rsidRPr="00A433B0">
              <w:rPr>
                <w:rFonts w:ascii="Arial" w:hAnsi="Arial" w:cs="Arial"/>
              </w:rPr>
              <w:t>This policy relates to the following documents:</w:t>
            </w:r>
          </w:p>
          <w:p w14:paraId="0307B058" w14:textId="77777777" w:rsidR="006E4C0E" w:rsidRPr="00A433B0" w:rsidRDefault="006E4C0E" w:rsidP="003E2303">
            <w:pPr>
              <w:tabs>
                <w:tab w:val="left" w:pos="1545"/>
              </w:tabs>
              <w:rPr>
                <w:rFonts w:ascii="Arial" w:hAnsi="Arial" w:cs="Arial"/>
              </w:rPr>
            </w:pPr>
          </w:p>
          <w:p w14:paraId="58D97738" w14:textId="4488E82C" w:rsidR="006E4C0E" w:rsidRPr="00A433B0" w:rsidRDefault="00B05F11" w:rsidP="00A433B0">
            <w:pPr>
              <w:pStyle w:val="ListParagraph"/>
              <w:numPr>
                <w:ilvl w:val="0"/>
                <w:numId w:val="2"/>
              </w:numPr>
              <w:tabs>
                <w:tab w:val="left" w:pos="1545"/>
              </w:tabs>
              <w:rPr>
                <w:rFonts w:ascii="Arial" w:hAnsi="Arial" w:cs="Arial"/>
              </w:rPr>
            </w:pPr>
            <w:r w:rsidRPr="00A433B0">
              <w:rPr>
                <w:rFonts w:ascii="Arial" w:hAnsi="Arial" w:cs="Arial"/>
              </w:rPr>
              <w:t>Storage Agreement</w:t>
            </w:r>
          </w:p>
          <w:p w14:paraId="7AF25A8F" w14:textId="618F6B0F" w:rsidR="0089283E" w:rsidRPr="00A433B0" w:rsidRDefault="001B0443" w:rsidP="00A433B0">
            <w:pPr>
              <w:pStyle w:val="ListParagraph"/>
              <w:numPr>
                <w:ilvl w:val="0"/>
                <w:numId w:val="2"/>
              </w:numPr>
              <w:tabs>
                <w:tab w:val="left" w:pos="1545"/>
              </w:tabs>
              <w:rPr>
                <w:rFonts w:ascii="Arial" w:hAnsi="Arial" w:cs="Arial"/>
              </w:rPr>
            </w:pPr>
            <w:r w:rsidRPr="00A433B0">
              <w:rPr>
                <w:rFonts w:ascii="Arial" w:hAnsi="Arial" w:cs="Arial"/>
              </w:rPr>
              <w:t xml:space="preserve">Licence Agreement </w:t>
            </w:r>
          </w:p>
          <w:p w14:paraId="6A070747" w14:textId="77777777" w:rsidR="00FE227E" w:rsidRPr="004A5AD9" w:rsidRDefault="00FE227E" w:rsidP="00FE227E">
            <w:pPr>
              <w:pStyle w:val="ListParagraph"/>
              <w:numPr>
                <w:ilvl w:val="0"/>
                <w:numId w:val="2"/>
              </w:numPr>
              <w:tabs>
                <w:tab w:val="left" w:pos="1545"/>
              </w:tabs>
              <w:rPr>
                <w:rFonts w:ascii="Arial" w:hAnsi="Arial" w:cs="Arial"/>
              </w:rPr>
            </w:pPr>
            <w:r>
              <w:rPr>
                <w:rFonts w:ascii="Arial" w:hAnsi="Arial" w:cs="Arial"/>
              </w:rPr>
              <w:t>Temporary Accommodation Rechargeable Repairs Policy</w:t>
            </w:r>
          </w:p>
          <w:p w14:paraId="42338A8E" w14:textId="1A806807" w:rsidR="0089283E" w:rsidRPr="00A433B0" w:rsidRDefault="0089283E" w:rsidP="00A433B0">
            <w:pPr>
              <w:pStyle w:val="ListParagraph"/>
              <w:tabs>
                <w:tab w:val="left" w:pos="1545"/>
              </w:tabs>
              <w:rPr>
                <w:rFonts w:ascii="Arial" w:hAnsi="Arial" w:cs="Arial"/>
              </w:rPr>
            </w:pPr>
          </w:p>
        </w:tc>
      </w:tr>
      <w:tr w:rsidR="003E2303" w14:paraId="18ADBFB2" w14:textId="77777777" w:rsidTr="00392A0E">
        <w:trPr>
          <w:trHeight w:val="386"/>
        </w:trPr>
        <w:tc>
          <w:tcPr>
            <w:tcW w:w="568" w:type="dxa"/>
          </w:tcPr>
          <w:p w14:paraId="7F73B98F" w14:textId="6B71211E" w:rsidR="003E2303" w:rsidRPr="00A433B0" w:rsidRDefault="00A433B0" w:rsidP="003E2303">
            <w:pPr>
              <w:tabs>
                <w:tab w:val="left" w:pos="1545"/>
              </w:tabs>
              <w:rPr>
                <w:rFonts w:ascii="Arial" w:hAnsi="Arial" w:cs="Arial"/>
                <w:b/>
                <w:bCs/>
              </w:rPr>
            </w:pPr>
            <w:r w:rsidRPr="00A433B0">
              <w:rPr>
                <w:rFonts w:ascii="Arial" w:hAnsi="Arial" w:cs="Arial"/>
                <w:b/>
                <w:bCs/>
              </w:rPr>
              <w:t>7</w:t>
            </w:r>
            <w:r w:rsidR="003E2303" w:rsidRPr="00A433B0">
              <w:rPr>
                <w:rFonts w:ascii="Arial" w:hAnsi="Arial" w:cs="Arial"/>
                <w:b/>
                <w:bCs/>
              </w:rPr>
              <w:t>.</w:t>
            </w:r>
          </w:p>
        </w:tc>
        <w:tc>
          <w:tcPr>
            <w:tcW w:w="9638" w:type="dxa"/>
          </w:tcPr>
          <w:p w14:paraId="15A29152" w14:textId="0991F575" w:rsidR="003E2303" w:rsidRPr="00A433B0" w:rsidRDefault="003E2303" w:rsidP="003E2303">
            <w:pPr>
              <w:tabs>
                <w:tab w:val="left" w:pos="1545"/>
              </w:tabs>
              <w:rPr>
                <w:rFonts w:ascii="Arial" w:hAnsi="Arial" w:cs="Arial"/>
                <w:b/>
                <w:bCs/>
              </w:rPr>
            </w:pPr>
            <w:r w:rsidRPr="00A433B0">
              <w:rPr>
                <w:rFonts w:ascii="Arial" w:hAnsi="Arial" w:cs="Arial"/>
                <w:b/>
                <w:bCs/>
              </w:rPr>
              <w:t>References</w:t>
            </w:r>
          </w:p>
        </w:tc>
      </w:tr>
      <w:tr w:rsidR="003E2303" w14:paraId="1FA904F2" w14:textId="77777777" w:rsidTr="00392A0E">
        <w:trPr>
          <w:trHeight w:val="520"/>
        </w:trPr>
        <w:tc>
          <w:tcPr>
            <w:tcW w:w="568" w:type="dxa"/>
          </w:tcPr>
          <w:p w14:paraId="33E448EC" w14:textId="0733FD44" w:rsidR="003E2303" w:rsidRPr="00A433B0" w:rsidRDefault="00A433B0" w:rsidP="003E2303">
            <w:pPr>
              <w:tabs>
                <w:tab w:val="left" w:pos="1545"/>
              </w:tabs>
              <w:rPr>
                <w:rFonts w:ascii="Arial" w:hAnsi="Arial" w:cs="Arial"/>
              </w:rPr>
            </w:pPr>
            <w:r w:rsidRPr="00A433B0">
              <w:rPr>
                <w:rFonts w:ascii="Arial" w:hAnsi="Arial" w:cs="Arial"/>
              </w:rPr>
              <w:t>7</w:t>
            </w:r>
            <w:r w:rsidR="006E4C0E" w:rsidRPr="00A433B0">
              <w:rPr>
                <w:rFonts w:ascii="Arial" w:hAnsi="Arial" w:cs="Arial"/>
              </w:rPr>
              <w:t>.1</w:t>
            </w:r>
          </w:p>
        </w:tc>
        <w:tc>
          <w:tcPr>
            <w:tcW w:w="9638" w:type="dxa"/>
          </w:tcPr>
          <w:p w14:paraId="52D8AF5B" w14:textId="77777777" w:rsidR="003E2303" w:rsidRPr="00A433B0" w:rsidRDefault="006E4C0E" w:rsidP="003E2303">
            <w:pPr>
              <w:tabs>
                <w:tab w:val="left" w:pos="1545"/>
              </w:tabs>
              <w:rPr>
                <w:rFonts w:ascii="Arial" w:hAnsi="Arial" w:cs="Arial"/>
              </w:rPr>
            </w:pPr>
            <w:r w:rsidRPr="00A433B0">
              <w:rPr>
                <w:rFonts w:ascii="Arial" w:hAnsi="Arial" w:cs="Arial"/>
              </w:rPr>
              <w:t>This policy makes references to:</w:t>
            </w:r>
          </w:p>
          <w:p w14:paraId="79AD0F29" w14:textId="77777777" w:rsidR="006E4C0E" w:rsidRPr="00A433B0" w:rsidRDefault="006E4C0E" w:rsidP="003E2303">
            <w:pPr>
              <w:tabs>
                <w:tab w:val="left" w:pos="1545"/>
              </w:tabs>
              <w:rPr>
                <w:rFonts w:ascii="Arial" w:hAnsi="Arial" w:cs="Arial"/>
              </w:rPr>
            </w:pPr>
          </w:p>
          <w:p w14:paraId="6DC184A8" w14:textId="478B9024" w:rsidR="006E4C0E" w:rsidRPr="00A433B0" w:rsidRDefault="00B05F11" w:rsidP="00FE227E">
            <w:pPr>
              <w:pStyle w:val="ListParagraph"/>
              <w:numPr>
                <w:ilvl w:val="0"/>
                <w:numId w:val="1"/>
              </w:numPr>
              <w:tabs>
                <w:tab w:val="left" w:pos="1545"/>
              </w:tabs>
              <w:rPr>
                <w:rFonts w:ascii="Arial" w:hAnsi="Arial" w:cs="Arial"/>
              </w:rPr>
            </w:pPr>
            <w:r w:rsidRPr="00A433B0">
              <w:rPr>
                <w:rFonts w:ascii="Arial" w:hAnsi="Arial" w:cs="Arial"/>
              </w:rPr>
              <w:t>Storage Agreement</w:t>
            </w:r>
          </w:p>
          <w:p w14:paraId="6B21FEC3" w14:textId="77777777" w:rsidR="00FE227E" w:rsidRPr="004A5AD9" w:rsidRDefault="00FE227E" w:rsidP="00FE227E">
            <w:pPr>
              <w:pStyle w:val="ListParagraph"/>
              <w:numPr>
                <w:ilvl w:val="0"/>
                <w:numId w:val="1"/>
              </w:numPr>
              <w:tabs>
                <w:tab w:val="left" w:pos="1545"/>
              </w:tabs>
              <w:rPr>
                <w:rFonts w:ascii="Arial" w:hAnsi="Arial" w:cs="Arial"/>
              </w:rPr>
            </w:pPr>
            <w:r>
              <w:rPr>
                <w:rFonts w:ascii="Arial" w:hAnsi="Arial" w:cs="Arial"/>
              </w:rPr>
              <w:t>Temporary Accommodation Rechargeable Repairs Policy</w:t>
            </w:r>
          </w:p>
          <w:p w14:paraId="63B3C375" w14:textId="18BF28BA" w:rsidR="00B05F11" w:rsidRPr="00A433B0" w:rsidRDefault="00645CB8" w:rsidP="00FE227E">
            <w:pPr>
              <w:pStyle w:val="ListParagraph"/>
              <w:numPr>
                <w:ilvl w:val="0"/>
                <w:numId w:val="1"/>
              </w:numPr>
              <w:tabs>
                <w:tab w:val="left" w:pos="1545"/>
              </w:tabs>
              <w:rPr>
                <w:rFonts w:ascii="Arial" w:hAnsi="Arial" w:cs="Arial"/>
              </w:rPr>
            </w:pPr>
            <w:r w:rsidRPr="00A433B0">
              <w:rPr>
                <w:rFonts w:ascii="Arial" w:hAnsi="Arial" w:cs="Arial"/>
              </w:rPr>
              <w:t xml:space="preserve">Housing Solutions Team Temporary Accommodation </w:t>
            </w:r>
            <w:r w:rsidR="00B05F11" w:rsidRPr="00A433B0">
              <w:rPr>
                <w:rFonts w:ascii="Arial" w:hAnsi="Arial" w:cs="Arial"/>
              </w:rPr>
              <w:t>Pet Policy</w:t>
            </w:r>
          </w:p>
          <w:p w14:paraId="14D9EC06" w14:textId="77777777" w:rsidR="008A2BB1" w:rsidRPr="00A433B0" w:rsidRDefault="008A2BB1" w:rsidP="00FE227E">
            <w:pPr>
              <w:pStyle w:val="ListParagraph"/>
              <w:numPr>
                <w:ilvl w:val="0"/>
                <w:numId w:val="1"/>
              </w:numPr>
              <w:tabs>
                <w:tab w:val="left" w:pos="1545"/>
              </w:tabs>
              <w:rPr>
                <w:rFonts w:ascii="Arial" w:hAnsi="Arial" w:cs="Arial"/>
              </w:rPr>
            </w:pPr>
            <w:r>
              <w:rPr>
                <w:rFonts w:ascii="Arial" w:hAnsi="Arial" w:cs="Arial"/>
              </w:rPr>
              <w:t>Housing Act 1996 (Section 211 &amp; 212)</w:t>
            </w:r>
          </w:p>
          <w:p w14:paraId="07405582" w14:textId="77777777" w:rsidR="008A2BB1" w:rsidRPr="00A433B0" w:rsidRDefault="008A2BB1" w:rsidP="00FE227E">
            <w:pPr>
              <w:pStyle w:val="ListParagraph"/>
              <w:numPr>
                <w:ilvl w:val="0"/>
                <w:numId w:val="1"/>
              </w:numPr>
              <w:tabs>
                <w:tab w:val="left" w:pos="1545"/>
              </w:tabs>
              <w:rPr>
                <w:rFonts w:ascii="Arial" w:hAnsi="Arial" w:cs="Arial"/>
              </w:rPr>
            </w:pPr>
            <w:r w:rsidRPr="00A433B0">
              <w:rPr>
                <w:rFonts w:ascii="Arial" w:hAnsi="Arial" w:cs="Arial"/>
              </w:rPr>
              <w:t>Homelessness Code of Guidance introduced 3 April 2018</w:t>
            </w:r>
          </w:p>
          <w:p w14:paraId="29426054" w14:textId="1F9C3322" w:rsidR="00DC6D44" w:rsidRDefault="00DC6D44" w:rsidP="00FE227E">
            <w:pPr>
              <w:pStyle w:val="ListParagraph"/>
              <w:numPr>
                <w:ilvl w:val="0"/>
                <w:numId w:val="1"/>
              </w:numPr>
              <w:tabs>
                <w:tab w:val="left" w:pos="1545"/>
              </w:tabs>
              <w:rPr>
                <w:rFonts w:ascii="Arial" w:hAnsi="Arial" w:cs="Arial"/>
              </w:rPr>
            </w:pPr>
            <w:r w:rsidRPr="00A433B0">
              <w:rPr>
                <w:rFonts w:ascii="Arial" w:hAnsi="Arial" w:cs="Arial"/>
              </w:rPr>
              <w:t>Shelter Legal England</w:t>
            </w:r>
          </w:p>
          <w:p w14:paraId="57CE47E5" w14:textId="53CE2FC0" w:rsidR="00645CB8" w:rsidRPr="00A433B0" w:rsidRDefault="00645CB8" w:rsidP="008A2BB1">
            <w:pPr>
              <w:pStyle w:val="ListParagraph"/>
              <w:tabs>
                <w:tab w:val="left" w:pos="1545"/>
              </w:tabs>
              <w:rPr>
                <w:rFonts w:ascii="Arial" w:hAnsi="Arial" w:cs="Arial"/>
              </w:rPr>
            </w:pPr>
          </w:p>
        </w:tc>
      </w:tr>
      <w:tr w:rsidR="003E2303" w14:paraId="4A639CCB" w14:textId="77777777" w:rsidTr="00392A0E">
        <w:trPr>
          <w:trHeight w:val="390"/>
        </w:trPr>
        <w:tc>
          <w:tcPr>
            <w:tcW w:w="568" w:type="dxa"/>
          </w:tcPr>
          <w:p w14:paraId="2D9AA21C" w14:textId="2486B302" w:rsidR="003E2303" w:rsidRPr="00A433B0" w:rsidRDefault="00A433B0" w:rsidP="003E2303">
            <w:pPr>
              <w:tabs>
                <w:tab w:val="left" w:pos="1545"/>
              </w:tabs>
              <w:rPr>
                <w:rFonts w:ascii="Arial" w:hAnsi="Arial" w:cs="Arial"/>
                <w:b/>
                <w:bCs/>
              </w:rPr>
            </w:pPr>
            <w:r w:rsidRPr="00A433B0">
              <w:rPr>
                <w:rFonts w:ascii="Arial" w:hAnsi="Arial" w:cs="Arial"/>
                <w:b/>
                <w:bCs/>
              </w:rPr>
              <w:t>8</w:t>
            </w:r>
            <w:r w:rsidR="003E2303" w:rsidRPr="00A433B0">
              <w:rPr>
                <w:rFonts w:ascii="Arial" w:hAnsi="Arial" w:cs="Arial"/>
                <w:b/>
                <w:bCs/>
              </w:rPr>
              <w:t>.</w:t>
            </w:r>
          </w:p>
        </w:tc>
        <w:tc>
          <w:tcPr>
            <w:tcW w:w="9638" w:type="dxa"/>
          </w:tcPr>
          <w:p w14:paraId="2049CDA9" w14:textId="4A90A42B" w:rsidR="003E2303" w:rsidRPr="00A433B0" w:rsidRDefault="003E2303" w:rsidP="003E2303">
            <w:pPr>
              <w:tabs>
                <w:tab w:val="left" w:pos="1545"/>
              </w:tabs>
              <w:rPr>
                <w:rFonts w:ascii="Arial" w:hAnsi="Arial" w:cs="Arial"/>
                <w:b/>
                <w:bCs/>
              </w:rPr>
            </w:pPr>
            <w:r w:rsidRPr="00A433B0">
              <w:rPr>
                <w:rFonts w:ascii="Arial" w:hAnsi="Arial" w:cs="Arial"/>
                <w:b/>
                <w:bCs/>
              </w:rPr>
              <w:t>Review date</w:t>
            </w:r>
          </w:p>
        </w:tc>
      </w:tr>
      <w:tr w:rsidR="003E2303" w14:paraId="7BE68E1C" w14:textId="77777777" w:rsidTr="00392A0E">
        <w:trPr>
          <w:trHeight w:val="520"/>
        </w:trPr>
        <w:tc>
          <w:tcPr>
            <w:tcW w:w="568" w:type="dxa"/>
          </w:tcPr>
          <w:p w14:paraId="723D91EC" w14:textId="68D50A82" w:rsidR="003E2303" w:rsidRPr="00773B0D" w:rsidRDefault="00773B0D" w:rsidP="003E2303">
            <w:pPr>
              <w:tabs>
                <w:tab w:val="left" w:pos="1545"/>
              </w:tabs>
              <w:rPr>
                <w:rFonts w:ascii="Arial" w:hAnsi="Arial" w:cs="Arial"/>
              </w:rPr>
            </w:pPr>
            <w:r>
              <w:rPr>
                <w:rFonts w:ascii="Arial" w:hAnsi="Arial" w:cs="Arial"/>
              </w:rPr>
              <w:t>8</w:t>
            </w:r>
            <w:r w:rsidR="006E4C0E" w:rsidRPr="00773B0D">
              <w:rPr>
                <w:rFonts w:ascii="Arial" w:hAnsi="Arial" w:cs="Arial"/>
              </w:rPr>
              <w:t>.1</w:t>
            </w:r>
          </w:p>
        </w:tc>
        <w:tc>
          <w:tcPr>
            <w:tcW w:w="9638" w:type="dxa"/>
          </w:tcPr>
          <w:p w14:paraId="77E308CF" w14:textId="77777777" w:rsidR="00D43498" w:rsidRDefault="006E4C0E" w:rsidP="00D43498">
            <w:pPr>
              <w:rPr>
                <w:rFonts w:ascii="Arial" w:hAnsi="Arial" w:cs="Arial"/>
              </w:rPr>
            </w:pPr>
            <w:r w:rsidRPr="00A433B0">
              <w:rPr>
                <w:rFonts w:ascii="Arial" w:hAnsi="Arial" w:cs="Arial"/>
              </w:rPr>
              <w:t>This policy will be reviewed every three years or on the introduction to new legislation; regulation; or good practice guidance.</w:t>
            </w:r>
            <w:r w:rsidRPr="00D43498">
              <w:rPr>
                <w:rFonts w:ascii="Arial" w:hAnsi="Arial" w:cs="Arial"/>
              </w:rPr>
              <w:t xml:space="preserve"> </w:t>
            </w:r>
            <w:r w:rsidR="00D43498" w:rsidRPr="00D03D24">
              <w:rPr>
                <w:rFonts w:ascii="Arial" w:hAnsi="Arial" w:cs="Arial"/>
              </w:rPr>
              <w:t>Delegated authority to change; amend; and update this policy will be given to the Assistant Director for Strategic Housing in consultation with the Portfolio Holder</w:t>
            </w:r>
            <w:r w:rsidR="00D43498" w:rsidRPr="00D43498">
              <w:rPr>
                <w:rFonts w:ascii="Arial" w:hAnsi="Arial" w:cs="Arial"/>
              </w:rPr>
              <w:t xml:space="preserve">.  </w:t>
            </w:r>
          </w:p>
          <w:p w14:paraId="00757AF4" w14:textId="5BD5D533" w:rsidR="003E2303" w:rsidRDefault="003E2303" w:rsidP="003E2303">
            <w:pPr>
              <w:tabs>
                <w:tab w:val="left" w:pos="1545"/>
              </w:tabs>
              <w:rPr>
                <w:rFonts w:ascii="Arial" w:hAnsi="Arial" w:cs="Arial"/>
              </w:rPr>
            </w:pPr>
          </w:p>
          <w:p w14:paraId="3F13F68E" w14:textId="18ACD63C" w:rsidR="00172777" w:rsidRPr="00A433B0" w:rsidRDefault="00172777" w:rsidP="003E2303">
            <w:pPr>
              <w:tabs>
                <w:tab w:val="left" w:pos="1545"/>
              </w:tabs>
              <w:rPr>
                <w:rFonts w:ascii="Arial" w:hAnsi="Arial" w:cs="Arial"/>
              </w:rPr>
            </w:pPr>
          </w:p>
        </w:tc>
      </w:tr>
    </w:tbl>
    <w:p w14:paraId="268EB829" w14:textId="77777777" w:rsidR="00DC6D44" w:rsidRDefault="00DC6D44" w:rsidP="003E2303">
      <w:pPr>
        <w:tabs>
          <w:tab w:val="left" w:pos="1545"/>
        </w:tabs>
        <w:rPr>
          <w:rFonts w:ascii="Arial" w:hAnsi="Arial" w:cs="Arial"/>
          <w:sz w:val="32"/>
          <w:szCs w:val="32"/>
        </w:rPr>
      </w:pPr>
    </w:p>
    <w:p w14:paraId="2DA1D862" w14:textId="77777777" w:rsidR="00172777" w:rsidRPr="003E2303" w:rsidRDefault="00172777" w:rsidP="003E2303">
      <w:pPr>
        <w:tabs>
          <w:tab w:val="left" w:pos="1545"/>
        </w:tabs>
        <w:rPr>
          <w:rFonts w:ascii="Arial" w:hAnsi="Arial" w:cs="Arial"/>
          <w:sz w:val="32"/>
          <w:szCs w:val="32"/>
        </w:rPr>
      </w:pPr>
    </w:p>
    <w:sectPr w:rsidR="00172777" w:rsidRPr="003E2303" w:rsidSect="00D3101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AD8C" w14:textId="77777777" w:rsidR="00D31015" w:rsidRDefault="00D31015" w:rsidP="00F434E0">
      <w:pPr>
        <w:spacing w:after="0" w:line="240" w:lineRule="auto"/>
      </w:pPr>
      <w:r>
        <w:separator/>
      </w:r>
    </w:p>
  </w:endnote>
  <w:endnote w:type="continuationSeparator" w:id="0">
    <w:p w14:paraId="6198DCF0" w14:textId="77777777" w:rsidR="00D31015" w:rsidRDefault="00D31015" w:rsidP="00F4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9101" w14:textId="77777777" w:rsidR="00F434E0" w:rsidRDefault="00F4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16427537"/>
      <w:docPartObj>
        <w:docPartGallery w:val="Page Numbers (Bottom of Page)"/>
        <w:docPartUnique/>
      </w:docPartObj>
    </w:sdtPr>
    <w:sdtContent>
      <w:p w14:paraId="1AC52D1E" w14:textId="2AD7D0A1" w:rsidR="00F434E0" w:rsidRPr="00F434E0" w:rsidRDefault="00F434E0">
        <w:pPr>
          <w:pStyle w:val="Footer"/>
          <w:jc w:val="right"/>
          <w:rPr>
            <w:rFonts w:ascii="Arial" w:hAnsi="Arial" w:cs="Arial"/>
            <w:sz w:val="20"/>
            <w:szCs w:val="20"/>
          </w:rPr>
        </w:pPr>
        <w:r w:rsidRPr="00F434E0">
          <w:rPr>
            <w:rFonts w:ascii="Arial" w:hAnsi="Arial" w:cs="Arial"/>
            <w:sz w:val="20"/>
            <w:szCs w:val="20"/>
          </w:rPr>
          <w:fldChar w:fldCharType="begin"/>
        </w:r>
        <w:r w:rsidRPr="00F434E0">
          <w:rPr>
            <w:rFonts w:ascii="Arial" w:hAnsi="Arial" w:cs="Arial"/>
            <w:sz w:val="20"/>
            <w:szCs w:val="20"/>
          </w:rPr>
          <w:instrText>PAGE   \* MERGEFORMAT</w:instrText>
        </w:r>
        <w:r w:rsidRPr="00F434E0">
          <w:rPr>
            <w:rFonts w:ascii="Arial" w:hAnsi="Arial" w:cs="Arial"/>
            <w:sz w:val="20"/>
            <w:szCs w:val="20"/>
          </w:rPr>
          <w:fldChar w:fldCharType="separate"/>
        </w:r>
        <w:r w:rsidRPr="00F434E0">
          <w:rPr>
            <w:rFonts w:ascii="Arial" w:hAnsi="Arial" w:cs="Arial"/>
            <w:sz w:val="20"/>
            <w:szCs w:val="20"/>
          </w:rPr>
          <w:t>2</w:t>
        </w:r>
        <w:r w:rsidRPr="00F434E0">
          <w:rPr>
            <w:rFonts w:ascii="Arial" w:hAnsi="Arial" w:cs="Arial"/>
            <w:sz w:val="20"/>
            <w:szCs w:val="20"/>
          </w:rPr>
          <w:fldChar w:fldCharType="end"/>
        </w:r>
      </w:p>
    </w:sdtContent>
  </w:sdt>
  <w:p w14:paraId="1F68695B" w14:textId="77777777" w:rsidR="00F434E0" w:rsidRDefault="00F43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1CB" w14:textId="77777777" w:rsidR="00F434E0" w:rsidRDefault="00F4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D854" w14:textId="77777777" w:rsidR="00D31015" w:rsidRDefault="00D31015" w:rsidP="00F434E0">
      <w:pPr>
        <w:spacing w:after="0" w:line="240" w:lineRule="auto"/>
      </w:pPr>
      <w:r>
        <w:separator/>
      </w:r>
    </w:p>
  </w:footnote>
  <w:footnote w:type="continuationSeparator" w:id="0">
    <w:p w14:paraId="50BB7109" w14:textId="77777777" w:rsidR="00D31015" w:rsidRDefault="00D31015" w:rsidP="00F4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D9B9" w14:textId="01D3025B" w:rsidR="00F434E0" w:rsidRDefault="00F4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8F9A" w14:textId="170DFD81" w:rsidR="00F434E0" w:rsidRDefault="00F43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86F1" w14:textId="72D57413" w:rsidR="00F434E0" w:rsidRDefault="00F4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77F"/>
    <w:multiLevelType w:val="hybridMultilevel"/>
    <w:tmpl w:val="13EED4F2"/>
    <w:lvl w:ilvl="0" w:tplc="3D6EF8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DE6D48"/>
    <w:multiLevelType w:val="hybridMultilevel"/>
    <w:tmpl w:val="A2A4FAA4"/>
    <w:lvl w:ilvl="0" w:tplc="5E36C5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B355A7"/>
    <w:multiLevelType w:val="hybridMultilevel"/>
    <w:tmpl w:val="54E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21069"/>
    <w:multiLevelType w:val="hybridMultilevel"/>
    <w:tmpl w:val="24E4A2F0"/>
    <w:lvl w:ilvl="0" w:tplc="C60E80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7D5EAD"/>
    <w:multiLevelType w:val="hybridMultilevel"/>
    <w:tmpl w:val="CC3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1E76"/>
    <w:multiLevelType w:val="hybridMultilevel"/>
    <w:tmpl w:val="B99E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69C2"/>
    <w:multiLevelType w:val="hybridMultilevel"/>
    <w:tmpl w:val="D592BC4E"/>
    <w:lvl w:ilvl="0" w:tplc="2B20E3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EB5BFC"/>
    <w:multiLevelType w:val="hybridMultilevel"/>
    <w:tmpl w:val="7180C0E2"/>
    <w:lvl w:ilvl="0" w:tplc="B7ACBB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71DAE"/>
    <w:multiLevelType w:val="hybridMultilevel"/>
    <w:tmpl w:val="FC866DF2"/>
    <w:lvl w:ilvl="0" w:tplc="52AE47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377B57"/>
    <w:multiLevelType w:val="hybridMultilevel"/>
    <w:tmpl w:val="14C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53F19"/>
    <w:multiLevelType w:val="hybridMultilevel"/>
    <w:tmpl w:val="DDC4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5611A"/>
    <w:multiLevelType w:val="hybridMultilevel"/>
    <w:tmpl w:val="EC9E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F7B60"/>
    <w:multiLevelType w:val="hybridMultilevel"/>
    <w:tmpl w:val="006ED338"/>
    <w:lvl w:ilvl="0" w:tplc="FC7A7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B107F2"/>
    <w:multiLevelType w:val="hybridMultilevel"/>
    <w:tmpl w:val="659693A6"/>
    <w:lvl w:ilvl="0" w:tplc="9D50A4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EF6B8E"/>
    <w:multiLevelType w:val="hybridMultilevel"/>
    <w:tmpl w:val="915C07B2"/>
    <w:lvl w:ilvl="0" w:tplc="975C27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5D55D1"/>
    <w:multiLevelType w:val="hybridMultilevel"/>
    <w:tmpl w:val="F64A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414B0"/>
    <w:multiLevelType w:val="hybridMultilevel"/>
    <w:tmpl w:val="B0E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B474D"/>
    <w:multiLevelType w:val="hybridMultilevel"/>
    <w:tmpl w:val="9DFECB56"/>
    <w:lvl w:ilvl="0" w:tplc="B0041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836E7"/>
    <w:multiLevelType w:val="hybridMultilevel"/>
    <w:tmpl w:val="D22C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6550A"/>
    <w:multiLevelType w:val="hybridMultilevel"/>
    <w:tmpl w:val="52446D62"/>
    <w:lvl w:ilvl="0" w:tplc="7B82B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37F50"/>
    <w:multiLevelType w:val="hybridMultilevel"/>
    <w:tmpl w:val="D3F8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D5493"/>
    <w:multiLevelType w:val="hybridMultilevel"/>
    <w:tmpl w:val="80B0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349487">
    <w:abstractNumId w:val="9"/>
  </w:num>
  <w:num w:numId="2" w16cid:durableId="1993020248">
    <w:abstractNumId w:val="15"/>
  </w:num>
  <w:num w:numId="3" w16cid:durableId="1585257876">
    <w:abstractNumId w:val="21"/>
  </w:num>
  <w:num w:numId="4" w16cid:durableId="1741949273">
    <w:abstractNumId w:val="16"/>
  </w:num>
  <w:num w:numId="5" w16cid:durableId="138615936">
    <w:abstractNumId w:val="4"/>
  </w:num>
  <w:num w:numId="6" w16cid:durableId="636767577">
    <w:abstractNumId w:val="5"/>
  </w:num>
  <w:num w:numId="7" w16cid:durableId="1522863056">
    <w:abstractNumId w:val="20"/>
  </w:num>
  <w:num w:numId="8" w16cid:durableId="1423143301">
    <w:abstractNumId w:val="18"/>
  </w:num>
  <w:num w:numId="9" w16cid:durableId="534343902">
    <w:abstractNumId w:val="11"/>
  </w:num>
  <w:num w:numId="10" w16cid:durableId="1480997235">
    <w:abstractNumId w:val="10"/>
  </w:num>
  <w:num w:numId="11" w16cid:durableId="1283806287">
    <w:abstractNumId w:val="2"/>
  </w:num>
  <w:num w:numId="12" w16cid:durableId="1936130772">
    <w:abstractNumId w:val="19"/>
  </w:num>
  <w:num w:numId="13" w16cid:durableId="714893008">
    <w:abstractNumId w:val="12"/>
  </w:num>
  <w:num w:numId="14" w16cid:durableId="1049496707">
    <w:abstractNumId w:val="1"/>
  </w:num>
  <w:num w:numId="15" w16cid:durableId="602034305">
    <w:abstractNumId w:val="8"/>
  </w:num>
  <w:num w:numId="16" w16cid:durableId="1214807834">
    <w:abstractNumId w:val="17"/>
  </w:num>
  <w:num w:numId="17" w16cid:durableId="243685129">
    <w:abstractNumId w:val="13"/>
  </w:num>
  <w:num w:numId="18" w16cid:durableId="1142387178">
    <w:abstractNumId w:val="7"/>
  </w:num>
  <w:num w:numId="19" w16cid:durableId="802041404">
    <w:abstractNumId w:val="3"/>
  </w:num>
  <w:num w:numId="20" w16cid:durableId="431970096">
    <w:abstractNumId w:val="0"/>
  </w:num>
  <w:num w:numId="21" w16cid:durableId="485825484">
    <w:abstractNumId w:val="6"/>
  </w:num>
  <w:num w:numId="22" w16cid:durableId="1900047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E0"/>
    <w:rsid w:val="00025D79"/>
    <w:rsid w:val="00043E3A"/>
    <w:rsid w:val="0004445E"/>
    <w:rsid w:val="00064F6F"/>
    <w:rsid w:val="00066F8D"/>
    <w:rsid w:val="00101848"/>
    <w:rsid w:val="00104684"/>
    <w:rsid w:val="00115D23"/>
    <w:rsid w:val="001219AA"/>
    <w:rsid w:val="00123F7C"/>
    <w:rsid w:val="0013618D"/>
    <w:rsid w:val="001620CB"/>
    <w:rsid w:val="00172777"/>
    <w:rsid w:val="001A0D6B"/>
    <w:rsid w:val="001B0443"/>
    <w:rsid w:val="001B3C70"/>
    <w:rsid w:val="001C5599"/>
    <w:rsid w:val="001F1C10"/>
    <w:rsid w:val="001F4686"/>
    <w:rsid w:val="002241F7"/>
    <w:rsid w:val="00225661"/>
    <w:rsid w:val="00240857"/>
    <w:rsid w:val="002431DF"/>
    <w:rsid w:val="002479B9"/>
    <w:rsid w:val="00252397"/>
    <w:rsid w:val="00266A00"/>
    <w:rsid w:val="00296200"/>
    <w:rsid w:val="002B3C07"/>
    <w:rsid w:val="002F12DB"/>
    <w:rsid w:val="00307693"/>
    <w:rsid w:val="0030794D"/>
    <w:rsid w:val="00307AC2"/>
    <w:rsid w:val="003409B2"/>
    <w:rsid w:val="00350554"/>
    <w:rsid w:val="00353481"/>
    <w:rsid w:val="00353CF2"/>
    <w:rsid w:val="00373223"/>
    <w:rsid w:val="00384645"/>
    <w:rsid w:val="00392A0E"/>
    <w:rsid w:val="003940AF"/>
    <w:rsid w:val="00394AB5"/>
    <w:rsid w:val="00396B3F"/>
    <w:rsid w:val="003A08E7"/>
    <w:rsid w:val="003C6EB1"/>
    <w:rsid w:val="003E2303"/>
    <w:rsid w:val="003E2A13"/>
    <w:rsid w:val="003E46D5"/>
    <w:rsid w:val="003E5AD0"/>
    <w:rsid w:val="00415265"/>
    <w:rsid w:val="0041772E"/>
    <w:rsid w:val="0043069C"/>
    <w:rsid w:val="004329DF"/>
    <w:rsid w:val="0045157E"/>
    <w:rsid w:val="0045346E"/>
    <w:rsid w:val="004609EB"/>
    <w:rsid w:val="00462687"/>
    <w:rsid w:val="00472AE9"/>
    <w:rsid w:val="004802F6"/>
    <w:rsid w:val="004816AA"/>
    <w:rsid w:val="004A637F"/>
    <w:rsid w:val="004C425B"/>
    <w:rsid w:val="004C5DC9"/>
    <w:rsid w:val="005006B1"/>
    <w:rsid w:val="005022E3"/>
    <w:rsid w:val="00520878"/>
    <w:rsid w:val="005217B0"/>
    <w:rsid w:val="00527586"/>
    <w:rsid w:val="00561725"/>
    <w:rsid w:val="00592903"/>
    <w:rsid w:val="005D484B"/>
    <w:rsid w:val="005D549F"/>
    <w:rsid w:val="005F6404"/>
    <w:rsid w:val="00601903"/>
    <w:rsid w:val="00641322"/>
    <w:rsid w:val="00644D2F"/>
    <w:rsid w:val="00645CB8"/>
    <w:rsid w:val="00646E02"/>
    <w:rsid w:val="00656BFE"/>
    <w:rsid w:val="006619E3"/>
    <w:rsid w:val="006631EF"/>
    <w:rsid w:val="00674B09"/>
    <w:rsid w:val="006758A4"/>
    <w:rsid w:val="006964DD"/>
    <w:rsid w:val="006C102E"/>
    <w:rsid w:val="006C5340"/>
    <w:rsid w:val="006E086E"/>
    <w:rsid w:val="006E4C0E"/>
    <w:rsid w:val="006F6BEF"/>
    <w:rsid w:val="00715963"/>
    <w:rsid w:val="00717F40"/>
    <w:rsid w:val="007357F6"/>
    <w:rsid w:val="007470CB"/>
    <w:rsid w:val="00767D27"/>
    <w:rsid w:val="00773B0D"/>
    <w:rsid w:val="00796D02"/>
    <w:rsid w:val="007A512E"/>
    <w:rsid w:val="007B61B3"/>
    <w:rsid w:val="007C1FF2"/>
    <w:rsid w:val="007E4B11"/>
    <w:rsid w:val="008007F5"/>
    <w:rsid w:val="00814210"/>
    <w:rsid w:val="0084334C"/>
    <w:rsid w:val="008519B2"/>
    <w:rsid w:val="0085542B"/>
    <w:rsid w:val="00866DE1"/>
    <w:rsid w:val="0089003B"/>
    <w:rsid w:val="0089283E"/>
    <w:rsid w:val="0089292E"/>
    <w:rsid w:val="008A04B8"/>
    <w:rsid w:val="008A2BB1"/>
    <w:rsid w:val="008A3756"/>
    <w:rsid w:val="008B65FE"/>
    <w:rsid w:val="008B6EDB"/>
    <w:rsid w:val="008C4245"/>
    <w:rsid w:val="008D0495"/>
    <w:rsid w:val="008D213A"/>
    <w:rsid w:val="008F491A"/>
    <w:rsid w:val="008F5294"/>
    <w:rsid w:val="00900828"/>
    <w:rsid w:val="00921EDD"/>
    <w:rsid w:val="009356F8"/>
    <w:rsid w:val="00945C20"/>
    <w:rsid w:val="00946213"/>
    <w:rsid w:val="00951725"/>
    <w:rsid w:val="009730DF"/>
    <w:rsid w:val="00973CC1"/>
    <w:rsid w:val="0098069F"/>
    <w:rsid w:val="00985433"/>
    <w:rsid w:val="00994CD1"/>
    <w:rsid w:val="00995A63"/>
    <w:rsid w:val="009B7EE2"/>
    <w:rsid w:val="009C1C6C"/>
    <w:rsid w:val="009F0CE0"/>
    <w:rsid w:val="009F6510"/>
    <w:rsid w:val="00A16367"/>
    <w:rsid w:val="00A433B0"/>
    <w:rsid w:val="00A56112"/>
    <w:rsid w:val="00A71D1D"/>
    <w:rsid w:val="00AA55BA"/>
    <w:rsid w:val="00AB2AD0"/>
    <w:rsid w:val="00AE0111"/>
    <w:rsid w:val="00AE03DA"/>
    <w:rsid w:val="00B05F11"/>
    <w:rsid w:val="00B12E49"/>
    <w:rsid w:val="00B2684D"/>
    <w:rsid w:val="00B430D8"/>
    <w:rsid w:val="00B53D26"/>
    <w:rsid w:val="00B6490F"/>
    <w:rsid w:val="00B6697A"/>
    <w:rsid w:val="00B67415"/>
    <w:rsid w:val="00BC03C4"/>
    <w:rsid w:val="00BD0E7F"/>
    <w:rsid w:val="00BD50D1"/>
    <w:rsid w:val="00C01AA0"/>
    <w:rsid w:val="00C07B0C"/>
    <w:rsid w:val="00C247E6"/>
    <w:rsid w:val="00C62DC3"/>
    <w:rsid w:val="00C650FB"/>
    <w:rsid w:val="00C81772"/>
    <w:rsid w:val="00C93926"/>
    <w:rsid w:val="00CB3970"/>
    <w:rsid w:val="00CF5D93"/>
    <w:rsid w:val="00D0399D"/>
    <w:rsid w:val="00D03D24"/>
    <w:rsid w:val="00D24C00"/>
    <w:rsid w:val="00D3035C"/>
    <w:rsid w:val="00D31015"/>
    <w:rsid w:val="00D43498"/>
    <w:rsid w:val="00D82295"/>
    <w:rsid w:val="00D863FD"/>
    <w:rsid w:val="00D97EAD"/>
    <w:rsid w:val="00DC6D44"/>
    <w:rsid w:val="00DD1466"/>
    <w:rsid w:val="00DD510C"/>
    <w:rsid w:val="00DD6895"/>
    <w:rsid w:val="00DE004E"/>
    <w:rsid w:val="00E168A4"/>
    <w:rsid w:val="00E251B2"/>
    <w:rsid w:val="00E3740B"/>
    <w:rsid w:val="00E76F7A"/>
    <w:rsid w:val="00E876A0"/>
    <w:rsid w:val="00E902CF"/>
    <w:rsid w:val="00E92E1E"/>
    <w:rsid w:val="00EB086F"/>
    <w:rsid w:val="00EB309A"/>
    <w:rsid w:val="00EC56E6"/>
    <w:rsid w:val="00EE47F3"/>
    <w:rsid w:val="00F154CC"/>
    <w:rsid w:val="00F2616B"/>
    <w:rsid w:val="00F377E9"/>
    <w:rsid w:val="00F434E0"/>
    <w:rsid w:val="00F564EB"/>
    <w:rsid w:val="00F726A7"/>
    <w:rsid w:val="00F72C92"/>
    <w:rsid w:val="00FD5270"/>
    <w:rsid w:val="00FE2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80E2"/>
  <w15:chartTrackingRefBased/>
  <w15:docId w15:val="{7635F74D-9849-471C-A9DE-5594684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4E0"/>
  </w:style>
  <w:style w:type="paragraph" w:styleId="Footer">
    <w:name w:val="footer"/>
    <w:basedOn w:val="Normal"/>
    <w:link w:val="FooterChar"/>
    <w:uiPriority w:val="99"/>
    <w:unhideWhenUsed/>
    <w:rsid w:val="00F43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4E0"/>
  </w:style>
  <w:style w:type="table" w:styleId="TableGrid">
    <w:name w:val="Table Grid"/>
    <w:basedOn w:val="TableNormal"/>
    <w:uiPriority w:val="39"/>
    <w:rsid w:val="00F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C0E"/>
    <w:pPr>
      <w:ind w:left="720"/>
      <w:contextualSpacing/>
    </w:pPr>
  </w:style>
  <w:style w:type="character" w:styleId="Hyperlink">
    <w:name w:val="Hyperlink"/>
    <w:basedOn w:val="DefaultParagraphFont"/>
    <w:uiPriority w:val="99"/>
    <w:semiHidden/>
    <w:unhideWhenUsed/>
    <w:rsid w:val="00F377E9"/>
    <w:rPr>
      <w:color w:val="0000FF"/>
      <w:u w:val="single"/>
    </w:rPr>
  </w:style>
  <w:style w:type="paragraph" w:customStyle="1" w:styleId="legclearfix">
    <w:name w:val="legclearfix"/>
    <w:basedOn w:val="Normal"/>
    <w:rsid w:val="001B3C7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egds">
    <w:name w:val="legds"/>
    <w:basedOn w:val="DefaultParagraphFont"/>
    <w:rsid w:val="001B3C70"/>
  </w:style>
  <w:style w:type="paragraph" w:customStyle="1" w:styleId="legrhs">
    <w:name w:val="legrhs"/>
    <w:basedOn w:val="Normal"/>
    <w:rsid w:val="001B3C7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Revision">
    <w:name w:val="Revision"/>
    <w:hidden/>
    <w:uiPriority w:val="99"/>
    <w:semiHidden/>
    <w:rsid w:val="0089292E"/>
    <w:pPr>
      <w:spacing w:after="0" w:line="240" w:lineRule="auto"/>
    </w:pPr>
  </w:style>
  <w:style w:type="character" w:styleId="CommentReference">
    <w:name w:val="annotation reference"/>
    <w:basedOn w:val="DefaultParagraphFont"/>
    <w:uiPriority w:val="99"/>
    <w:semiHidden/>
    <w:unhideWhenUsed/>
    <w:rsid w:val="00994CD1"/>
    <w:rPr>
      <w:sz w:val="16"/>
      <w:szCs w:val="16"/>
    </w:rPr>
  </w:style>
  <w:style w:type="paragraph" w:styleId="CommentText">
    <w:name w:val="annotation text"/>
    <w:basedOn w:val="Normal"/>
    <w:link w:val="CommentTextChar"/>
    <w:uiPriority w:val="99"/>
    <w:unhideWhenUsed/>
    <w:rsid w:val="00994CD1"/>
    <w:pPr>
      <w:spacing w:line="240" w:lineRule="auto"/>
    </w:pPr>
    <w:rPr>
      <w:sz w:val="20"/>
      <w:szCs w:val="20"/>
    </w:rPr>
  </w:style>
  <w:style w:type="character" w:customStyle="1" w:styleId="CommentTextChar">
    <w:name w:val="Comment Text Char"/>
    <w:basedOn w:val="DefaultParagraphFont"/>
    <w:link w:val="CommentText"/>
    <w:uiPriority w:val="99"/>
    <w:rsid w:val="00994CD1"/>
    <w:rPr>
      <w:sz w:val="20"/>
      <w:szCs w:val="20"/>
    </w:rPr>
  </w:style>
  <w:style w:type="paragraph" w:styleId="CommentSubject">
    <w:name w:val="annotation subject"/>
    <w:basedOn w:val="CommentText"/>
    <w:next w:val="CommentText"/>
    <w:link w:val="CommentSubjectChar"/>
    <w:uiPriority w:val="99"/>
    <w:semiHidden/>
    <w:unhideWhenUsed/>
    <w:rsid w:val="00994CD1"/>
    <w:rPr>
      <w:b/>
      <w:bCs/>
    </w:rPr>
  </w:style>
  <w:style w:type="character" w:customStyle="1" w:styleId="CommentSubjectChar">
    <w:name w:val="Comment Subject Char"/>
    <w:basedOn w:val="CommentTextChar"/>
    <w:link w:val="CommentSubject"/>
    <w:uiPriority w:val="99"/>
    <w:semiHidden/>
    <w:rsid w:val="00994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71192">
      <w:bodyDiv w:val="1"/>
      <w:marLeft w:val="0"/>
      <w:marRight w:val="0"/>
      <w:marTop w:val="0"/>
      <w:marBottom w:val="0"/>
      <w:divBdr>
        <w:top w:val="none" w:sz="0" w:space="0" w:color="auto"/>
        <w:left w:val="none" w:sz="0" w:space="0" w:color="auto"/>
        <w:bottom w:val="none" w:sz="0" w:space="0" w:color="auto"/>
        <w:right w:val="none" w:sz="0" w:space="0" w:color="auto"/>
      </w:divBdr>
    </w:div>
    <w:div w:id="357241095">
      <w:bodyDiv w:val="1"/>
      <w:marLeft w:val="0"/>
      <w:marRight w:val="0"/>
      <w:marTop w:val="0"/>
      <w:marBottom w:val="0"/>
      <w:divBdr>
        <w:top w:val="none" w:sz="0" w:space="0" w:color="auto"/>
        <w:left w:val="none" w:sz="0" w:space="0" w:color="auto"/>
        <w:bottom w:val="none" w:sz="0" w:space="0" w:color="auto"/>
        <w:right w:val="none" w:sz="0" w:space="0" w:color="auto"/>
      </w:divBdr>
    </w:div>
    <w:div w:id="1910068248">
      <w:bodyDiv w:val="1"/>
      <w:marLeft w:val="0"/>
      <w:marRight w:val="0"/>
      <w:marTop w:val="0"/>
      <w:marBottom w:val="0"/>
      <w:divBdr>
        <w:top w:val="none" w:sz="0" w:space="0" w:color="auto"/>
        <w:left w:val="none" w:sz="0" w:space="0" w:color="auto"/>
        <w:bottom w:val="none" w:sz="0" w:space="0" w:color="auto"/>
        <w:right w:val="none" w:sz="0" w:space="0" w:color="auto"/>
      </w:divBdr>
    </w:div>
    <w:div w:id="21431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6359ed-f559-4aac-8ff9-d551e3c23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AA7E7CF118A41BEFE2998F53B1ED9" ma:contentTypeVersion="14" ma:contentTypeDescription="Create a new document." ma:contentTypeScope="" ma:versionID="30abb19ce6b9e956100e29646c3bbf17">
  <xsd:schema xmlns:xsd="http://www.w3.org/2001/XMLSchema" xmlns:xs="http://www.w3.org/2001/XMLSchema" xmlns:p="http://schemas.microsoft.com/office/2006/metadata/properties" xmlns:ns3="1c214e32-93bb-4be0-b0ee-808aa35a76d7" xmlns:ns4="2a6359ed-f559-4aac-8ff9-d551e3c23f41" targetNamespace="http://schemas.microsoft.com/office/2006/metadata/properties" ma:root="true" ma:fieldsID="d1882f6f7e4b067dc9909a6bce61433c" ns3:_="" ns4:_="">
    <xsd:import namespace="1c214e32-93bb-4be0-b0ee-808aa35a76d7"/>
    <xsd:import namespace="2a6359ed-f559-4aac-8ff9-d551e3c23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4e32-93bb-4be0-b0ee-808aa35a76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359ed-f559-4aac-8ff9-d551e3c23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F0C1-A79E-4A05-BF84-2E3BD15C1F2D}">
  <ds:schemaRefs>
    <ds:schemaRef ds:uri="http://schemas.microsoft.com/office/2006/metadata/properties"/>
    <ds:schemaRef ds:uri="http://schemas.microsoft.com/office/infopath/2007/PartnerControls"/>
    <ds:schemaRef ds:uri="2a6359ed-f559-4aac-8ff9-d551e3c23f41"/>
  </ds:schemaRefs>
</ds:datastoreItem>
</file>

<file path=customXml/itemProps2.xml><?xml version="1.0" encoding="utf-8"?>
<ds:datastoreItem xmlns:ds="http://schemas.openxmlformats.org/officeDocument/2006/customXml" ds:itemID="{B9789483-1653-4B9F-8867-FEF57DF0C05C}">
  <ds:schemaRefs>
    <ds:schemaRef ds:uri="http://schemas.microsoft.com/sharepoint/v3/contenttype/forms"/>
  </ds:schemaRefs>
</ds:datastoreItem>
</file>

<file path=customXml/itemProps3.xml><?xml version="1.0" encoding="utf-8"?>
<ds:datastoreItem xmlns:ds="http://schemas.openxmlformats.org/officeDocument/2006/customXml" ds:itemID="{3ABF0F06-3631-4A2B-9B5C-07EFB6B3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4e32-93bb-4be0-b0ee-808aa35a76d7"/>
    <ds:schemaRef ds:uri="2a6359ed-f559-4aac-8ff9-d551e3c23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D33DD-B493-4A2B-92BA-E1BC2BBC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Garner</dc:creator>
  <cp:keywords/>
  <dc:description/>
  <cp:lastModifiedBy>Graeme Aitken</cp:lastModifiedBy>
  <cp:revision>2</cp:revision>
  <dcterms:created xsi:type="dcterms:W3CDTF">2024-03-28T11:04:00Z</dcterms:created>
  <dcterms:modified xsi:type="dcterms:W3CDTF">2024-03-28T11:04:00Z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0x010100601AA7E7CF118A41BEFE2998F53B1ED9</vt:lpwstr>
  </property>
</Properties>
</file>